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21D6" w14:textId="0EFF6465" w:rsidR="00797D4A" w:rsidRDefault="00797D4A" w:rsidP="00757805">
      <w:pPr>
        <w:jc w:val="both"/>
      </w:pPr>
    </w:p>
    <w:p w14:paraId="4CC6350E" w14:textId="53D2744C" w:rsidR="00992D3F" w:rsidRDefault="00992D3F" w:rsidP="00757805">
      <w:pPr>
        <w:jc w:val="both"/>
        <w:rPr>
          <w:rStyle w:val="testobrochure"/>
          <w:rFonts w:ascii="Arial" w:hAnsi="Arial" w:cs="Arial"/>
          <w:b/>
          <w:sz w:val="36"/>
        </w:rPr>
      </w:pPr>
    </w:p>
    <w:p w14:paraId="0B7C7257" w14:textId="28BEFE29" w:rsidR="00DD0669" w:rsidRPr="00C1039D" w:rsidRDefault="00DD0669" w:rsidP="00DD0669">
      <w:pPr>
        <w:jc w:val="both"/>
        <w:rPr>
          <w:rStyle w:val="testobrochure"/>
          <w:rFonts w:ascii="Arial" w:hAnsi="Arial" w:cs="Arial"/>
          <w:b/>
          <w:sz w:val="36"/>
        </w:rPr>
      </w:pPr>
      <w:r>
        <w:rPr>
          <w:rStyle w:val="testobrochure"/>
          <w:rFonts w:ascii="Arial" w:hAnsi="Arial" w:cs="Arial"/>
          <w:b/>
          <w:sz w:val="36"/>
        </w:rPr>
        <w:t>I</w:t>
      </w:r>
      <w:r>
        <w:rPr>
          <w:rStyle w:val="testobrochure"/>
          <w:rFonts w:ascii="Arial" w:hAnsi="Arial" w:cs="Arial"/>
          <w:b/>
          <w:sz w:val="36"/>
        </w:rPr>
        <w:t>L PORTALE DELLA CONOSCENZA CLINICA</w:t>
      </w:r>
    </w:p>
    <w:p w14:paraId="240856DE" w14:textId="77777777" w:rsidR="00C918EF" w:rsidRDefault="002518DA" w:rsidP="002518DA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 medici</w:t>
      </w:r>
      <w:r w:rsidR="00C65FDE">
        <w:rPr>
          <w:rFonts w:eastAsia="Times New Roman" w:cstheme="minorHAnsi"/>
          <w:lang w:eastAsia="it-IT"/>
        </w:rPr>
        <w:t xml:space="preserve"> spesso</w:t>
      </w:r>
      <w:r>
        <w:rPr>
          <w:rFonts w:eastAsia="Times New Roman" w:cstheme="minorHAnsi"/>
          <w:lang w:eastAsia="it-IT"/>
        </w:rPr>
        <w:t xml:space="preserve"> usano diversi sistemi EMR (Electronic </w:t>
      </w:r>
      <w:proofErr w:type="spellStart"/>
      <w:r>
        <w:rPr>
          <w:rFonts w:eastAsia="Times New Roman" w:cstheme="minorHAnsi"/>
          <w:lang w:eastAsia="it-IT"/>
        </w:rPr>
        <w:t>Medical</w:t>
      </w:r>
      <w:proofErr w:type="spellEnd"/>
      <w:r>
        <w:rPr>
          <w:rFonts w:eastAsia="Times New Roman" w:cstheme="minorHAnsi"/>
          <w:lang w:eastAsia="it-IT"/>
        </w:rPr>
        <w:t xml:space="preserve"> Records), impostati per codificare e registrare dati clinici con approcci diversi (ad es. SNOMED) e strutture dati diverse. In alcuni casi, i sistemi sono stati interconnessi attraverso meccanismi di interoperabilità, ottenendo un buon risultato per un utilizzo generale, ma del tutto insufficiente per garantire la collaborazione clinica. </w:t>
      </w:r>
      <w:r w:rsidR="00C918EF">
        <w:rPr>
          <w:rFonts w:eastAsia="Times New Roman" w:cstheme="minorHAnsi"/>
          <w:lang w:eastAsia="it-IT"/>
        </w:rPr>
        <w:t xml:space="preserve"> </w:t>
      </w:r>
    </w:p>
    <w:p w14:paraId="54A3747E" w14:textId="5C304CEC" w:rsidR="002518DA" w:rsidRPr="00196F44" w:rsidRDefault="00DD0669" w:rsidP="002518DA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Il C</w:t>
      </w:r>
      <w:proofErr w:type="spellStart"/>
      <w:r>
        <w:rPr>
          <w:rFonts w:eastAsia="Times New Roman" w:cstheme="minorHAnsi"/>
          <w:lang w:eastAsia="it-IT"/>
        </w:rPr>
        <w:t>linical</w:t>
      </w:r>
      <w:proofErr w:type="spellEnd"/>
      <w:r>
        <w:rPr>
          <w:rFonts w:eastAsia="Times New Roman" w:cstheme="minorHAnsi"/>
          <w:lang w:eastAsia="it-IT"/>
        </w:rPr>
        <w:t xml:space="preserve"> Knowledge Porta</w:t>
      </w:r>
      <w:r w:rsidR="00C918EF">
        <w:rPr>
          <w:rFonts w:eastAsia="Times New Roman" w:cstheme="minorHAnsi"/>
          <w:lang w:eastAsia="it-IT"/>
        </w:rPr>
        <w:t>l ha la</w:t>
      </w:r>
      <w:r w:rsidR="002518DA" w:rsidRPr="00325F66">
        <w:rPr>
          <w:rFonts w:ascii="Calibri" w:eastAsia="Times New Roman" w:hAnsi="Calibri" w:cs="Calibri"/>
          <w:lang w:eastAsia="it-IT"/>
        </w:rPr>
        <w:t xml:space="preserve"> capacità di descrivere concetti clinici attraverso archetipi</w:t>
      </w:r>
      <w:r w:rsidR="002518DA">
        <w:rPr>
          <w:rFonts w:ascii="Calibri" w:eastAsia="Times New Roman" w:hAnsi="Calibri" w:cs="Calibri"/>
          <w:lang w:eastAsia="it-IT"/>
        </w:rPr>
        <w:t xml:space="preserve"> </w:t>
      </w:r>
      <w:r w:rsidR="002518DA">
        <w:rPr>
          <w:rFonts w:eastAsia="Times New Roman" w:cstheme="minorHAnsi"/>
          <w:lang w:eastAsia="it-IT"/>
        </w:rPr>
        <w:t>sfruttando</w:t>
      </w:r>
      <w:r w:rsidR="00C918EF">
        <w:rPr>
          <w:rFonts w:eastAsia="Times New Roman" w:cstheme="minorHAnsi"/>
          <w:lang w:eastAsia="it-IT"/>
        </w:rPr>
        <w:t>,</w:t>
      </w:r>
      <w:r w:rsidR="002518DA">
        <w:rPr>
          <w:rFonts w:eastAsia="Times New Roman" w:cstheme="minorHAnsi"/>
          <w:lang w:eastAsia="it-IT"/>
        </w:rPr>
        <w:t xml:space="preserve"> </w:t>
      </w:r>
      <w:r w:rsidR="00C918EF">
        <w:rPr>
          <w:rFonts w:eastAsia="Times New Roman" w:cstheme="minorHAnsi"/>
          <w:lang w:eastAsia="it-IT"/>
        </w:rPr>
        <w:t>con la</w:t>
      </w:r>
      <w:r w:rsidR="00C918EF">
        <w:rPr>
          <w:rFonts w:eastAsia="Times New Roman" w:cstheme="minorHAnsi"/>
          <w:lang w:eastAsia="it-IT"/>
        </w:rPr>
        <w:t xml:space="preserve"> sua</w:t>
      </w:r>
      <w:r w:rsidR="00C918EF">
        <w:rPr>
          <w:rFonts w:eastAsia="Times New Roman" w:cstheme="minorHAnsi"/>
          <w:lang w:eastAsia="it-IT"/>
        </w:rPr>
        <w:t xml:space="preserve"> capacità di gestione dei </w:t>
      </w:r>
      <w:r w:rsidR="00C918EF">
        <w:rPr>
          <w:rFonts w:eastAsia="Times New Roman" w:cstheme="minorHAnsi"/>
          <w:lang w:eastAsia="it-IT"/>
        </w:rPr>
        <w:t>C</w:t>
      </w:r>
      <w:r w:rsidR="00C918EF">
        <w:rPr>
          <w:rFonts w:eastAsia="Times New Roman" w:cstheme="minorHAnsi"/>
          <w:lang w:eastAsia="it-IT"/>
        </w:rPr>
        <w:t>asi d’uso clinico</w:t>
      </w:r>
      <w:r w:rsidR="00C918EF">
        <w:rPr>
          <w:rFonts w:eastAsia="Times New Roman" w:cstheme="minorHAnsi"/>
          <w:lang w:eastAsia="it-IT"/>
        </w:rPr>
        <w:t xml:space="preserve">, </w:t>
      </w:r>
      <w:r w:rsidR="002518DA">
        <w:rPr>
          <w:rFonts w:eastAsia="Times New Roman" w:cstheme="minorHAnsi"/>
          <w:lang w:eastAsia="it-IT"/>
        </w:rPr>
        <w:t>fonti di mappatura delle codifiche già esistenti.</w:t>
      </w:r>
      <w:r>
        <w:rPr>
          <w:rFonts w:eastAsia="Times New Roman" w:cstheme="minorHAnsi"/>
          <w:lang w:eastAsia="it-IT"/>
        </w:rPr>
        <w:t xml:space="preserve"> </w:t>
      </w:r>
      <w:r w:rsidR="002518DA">
        <w:rPr>
          <w:rFonts w:eastAsia="Times New Roman" w:cstheme="minorHAnsi"/>
          <w:lang w:eastAsia="it-IT"/>
        </w:rPr>
        <w:t>Al fine di supportare una vera collaborazione clinica, la capacità di mappare le informazioni è fondamentale, ma non è sufficiente</w:t>
      </w:r>
      <w:r w:rsidR="00494A43">
        <w:rPr>
          <w:rFonts w:eastAsia="Times New Roman" w:cstheme="minorHAnsi"/>
          <w:lang w:eastAsia="it-IT"/>
        </w:rPr>
        <w:t>: occorre</w:t>
      </w:r>
      <w:r w:rsidR="002518DA" w:rsidRPr="00196F44">
        <w:rPr>
          <w:rFonts w:eastAsia="Times New Roman" w:cstheme="minorHAnsi"/>
          <w:lang w:eastAsia="it-IT"/>
        </w:rPr>
        <w:t xml:space="preserve"> condivide</w:t>
      </w:r>
      <w:r w:rsidR="00494A43">
        <w:rPr>
          <w:rFonts w:eastAsia="Times New Roman" w:cstheme="minorHAnsi"/>
          <w:lang w:eastAsia="it-IT"/>
        </w:rPr>
        <w:t>re</w:t>
      </w:r>
      <w:r w:rsidR="002518DA" w:rsidRPr="00196F44">
        <w:rPr>
          <w:rFonts w:eastAsia="Times New Roman" w:cstheme="minorHAnsi"/>
          <w:lang w:eastAsia="it-IT"/>
        </w:rPr>
        <w:t xml:space="preserve"> e segu</w:t>
      </w:r>
      <w:r w:rsidR="00494A43">
        <w:rPr>
          <w:rFonts w:eastAsia="Times New Roman" w:cstheme="minorHAnsi"/>
          <w:lang w:eastAsia="it-IT"/>
        </w:rPr>
        <w:t>ire</w:t>
      </w:r>
      <w:r w:rsidR="002518DA" w:rsidRPr="00196F44">
        <w:rPr>
          <w:rFonts w:eastAsia="Times New Roman" w:cstheme="minorHAnsi"/>
          <w:lang w:eastAsia="it-IT"/>
        </w:rPr>
        <w:t xml:space="preserve"> le migliori pratiche.</w:t>
      </w:r>
      <w:r>
        <w:rPr>
          <w:rFonts w:eastAsia="Times New Roman" w:cstheme="minorHAnsi"/>
          <w:lang w:eastAsia="it-IT"/>
        </w:rPr>
        <w:t xml:space="preserve"> </w:t>
      </w:r>
      <w:r w:rsidR="002518DA" w:rsidRPr="00196F44">
        <w:rPr>
          <w:rFonts w:eastAsia="Times New Roman" w:cstheme="minorHAnsi"/>
          <w:lang w:eastAsia="it-IT"/>
        </w:rPr>
        <w:t>Il Portale Clinico della Conoscenza interviene per facilitare questo processo, mettendo in collegamento i diversi sistemi utilizzati per codificare e registrare dati clinici e riducendo il rischio di interpretazioni errate.</w:t>
      </w:r>
    </w:p>
    <w:p w14:paraId="1DB8ED40" w14:textId="77777777" w:rsidR="002518DA" w:rsidRDefault="002518DA" w:rsidP="002518DA">
      <w:pPr>
        <w:jc w:val="both"/>
        <w:outlineLvl w:val="2"/>
        <w:rPr>
          <w:rFonts w:eastAsia="Times New Roman" w:cstheme="minorHAnsi"/>
          <w:b/>
          <w:bCs/>
          <w:color w:val="363636"/>
          <w:lang w:eastAsia="it-IT"/>
        </w:rPr>
      </w:pPr>
    </w:p>
    <w:p w14:paraId="5A72842B" w14:textId="77777777" w:rsidR="002518DA" w:rsidRPr="00196F44" w:rsidRDefault="002518DA" w:rsidP="002518DA">
      <w:pPr>
        <w:jc w:val="both"/>
        <w:outlineLvl w:val="2"/>
        <w:rPr>
          <w:rFonts w:eastAsia="Times New Roman" w:cstheme="minorHAnsi"/>
          <w:b/>
          <w:bCs/>
          <w:color w:val="363636"/>
          <w:lang w:eastAsia="it-IT"/>
        </w:rPr>
      </w:pPr>
      <w:r>
        <w:rPr>
          <w:rFonts w:eastAsia="Times New Roman" w:cstheme="minorHAnsi"/>
          <w:b/>
          <w:bCs/>
          <w:color w:val="363636"/>
          <w:lang w:eastAsia="it-IT"/>
        </w:rPr>
        <w:t>Non solo comunicazione, ma linee guida per migliorare l’assistenza</w:t>
      </w:r>
    </w:p>
    <w:p w14:paraId="76B4262D" w14:textId="40E07BBD" w:rsidR="002518DA" w:rsidRDefault="002518DA" w:rsidP="002518DA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Il CKP consente la piena condivisione delle migliori pratiche e delle linee guida cliniche proprio grazie alla gestione dei </w:t>
      </w:r>
      <w:r w:rsidR="00C918EF">
        <w:rPr>
          <w:rFonts w:eastAsia="Times New Roman" w:cstheme="minorHAnsi"/>
          <w:lang w:eastAsia="it-IT"/>
        </w:rPr>
        <w:t>C</w:t>
      </w:r>
      <w:r>
        <w:rPr>
          <w:rFonts w:eastAsia="Times New Roman" w:cstheme="minorHAnsi"/>
          <w:lang w:eastAsia="it-IT"/>
        </w:rPr>
        <w:t>asi d’uso clinico, ovvero di casi caratterizzati da 7 diverse dimensioni: sintomo, malattia, comorbidità, stadio della malattia, attore clinico, contesto fisico in cui opera, e tempo sono variabili che, in quanto tali, possono dar luogo a rappresentazioni di situazioni diverse e, di conseguenza, soddisfare diverse necessità informative, dando a ciascuno ciò di cui ha bisogno in quel luogo, in quel momento, con quel paziente, etc.</w:t>
      </w:r>
      <w:r w:rsidR="00494A43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Dal punto di vista dell’uso quotidiano, l’uso dei CUC è facile. Quando un clinico deve affrontare un paziente con un CUC specifico e ha bisogno di aiuto per recuperare le più recenti linee guida cliniche, può cercare dal suo strumento EMR sul CKP, dove può trovare molti CUC diversi, a diversi livelli di maturità, avendo la possibilità di identificare quello più utile per il suo paziente.</w:t>
      </w:r>
      <w:r w:rsidR="00494A43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La ricerca di CUC è semplice ed efficace. Questi vengono creati, votati e convalidati dalle comunità cliniche e i clinici possono sempre vedere chi ha fatto cosa, avendo tutte le informazioni giuste per scegliere il CUC più appropriato.</w:t>
      </w:r>
    </w:p>
    <w:p w14:paraId="78299610" w14:textId="77777777" w:rsidR="002518DA" w:rsidRDefault="002518DA" w:rsidP="002518DA">
      <w:pPr>
        <w:jc w:val="both"/>
        <w:outlineLvl w:val="2"/>
        <w:rPr>
          <w:rFonts w:eastAsia="Times New Roman" w:cstheme="minorHAnsi"/>
          <w:b/>
          <w:bCs/>
          <w:color w:val="363636"/>
          <w:lang w:eastAsia="it-IT"/>
        </w:rPr>
      </w:pPr>
    </w:p>
    <w:p w14:paraId="6E6EDE9E" w14:textId="77777777" w:rsidR="002518DA" w:rsidRPr="00196F44" w:rsidRDefault="002518DA" w:rsidP="002518DA">
      <w:pPr>
        <w:jc w:val="both"/>
        <w:outlineLvl w:val="2"/>
        <w:rPr>
          <w:rFonts w:eastAsia="Times New Roman" w:cstheme="minorHAnsi"/>
          <w:b/>
          <w:bCs/>
          <w:color w:val="363636"/>
          <w:lang w:eastAsia="it-IT"/>
        </w:rPr>
      </w:pPr>
      <w:r>
        <w:rPr>
          <w:rFonts w:eastAsia="Times New Roman" w:cstheme="minorHAnsi"/>
          <w:b/>
          <w:bCs/>
          <w:color w:val="363636"/>
          <w:lang w:eastAsia="it-IT"/>
        </w:rPr>
        <w:t>Condividere dati di qualità: un punto in più anche per la ricerca</w:t>
      </w:r>
    </w:p>
    <w:p w14:paraId="186D9FD6" w14:textId="06D1C1FC" w:rsidR="002518DA" w:rsidRDefault="002518DA" w:rsidP="002518DA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Un valore speciale del CKP emerge nella gestione dei </w:t>
      </w:r>
      <w:proofErr w:type="spellStart"/>
      <w:r>
        <w:rPr>
          <w:rFonts w:eastAsia="Times New Roman" w:cstheme="minorHAnsi"/>
          <w:lang w:eastAsia="it-IT"/>
        </w:rPr>
        <w:t>Clinical</w:t>
      </w:r>
      <w:proofErr w:type="spellEnd"/>
      <w:r>
        <w:rPr>
          <w:rFonts w:eastAsia="Times New Roman" w:cstheme="minorHAnsi"/>
          <w:lang w:eastAsia="it-IT"/>
        </w:rPr>
        <w:t xml:space="preserve"> Trials, un lavoro molto complesso, sia per le difficoltà nella condivisione delle informazioni cliniche, sia per lo sforzo dei medici da dedicare a riempire software, con una qualità dei dati discutibile.</w:t>
      </w:r>
      <w:r w:rsidR="00494A43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Grazie al CKP, i medici che hanno un paziente idoneo possono trasferire automaticamente i dati raccolti nel loro EMR all’interno del repository dati del </w:t>
      </w:r>
      <w:proofErr w:type="spellStart"/>
      <w:r>
        <w:rPr>
          <w:rFonts w:eastAsia="Times New Roman" w:cstheme="minorHAnsi"/>
          <w:lang w:eastAsia="it-IT"/>
        </w:rPr>
        <w:t>Clinical</w:t>
      </w:r>
      <w:proofErr w:type="spellEnd"/>
      <w:r>
        <w:rPr>
          <w:rFonts w:eastAsia="Times New Roman" w:cstheme="minorHAnsi"/>
          <w:lang w:eastAsia="it-IT"/>
        </w:rPr>
        <w:t xml:space="preserve"> Trial, riducendo drasticamente il tempo di raccolta dei dati degli studi clinici e migliorandone significativamente la qualità. </w:t>
      </w:r>
    </w:p>
    <w:p w14:paraId="40998AD7" w14:textId="77777777" w:rsidR="002518DA" w:rsidRDefault="002518DA" w:rsidP="002518DA">
      <w:pPr>
        <w:jc w:val="both"/>
        <w:outlineLvl w:val="2"/>
        <w:rPr>
          <w:rFonts w:eastAsia="Times New Roman" w:cstheme="minorHAnsi"/>
          <w:b/>
          <w:bCs/>
          <w:color w:val="363636"/>
          <w:lang w:eastAsia="it-IT"/>
        </w:rPr>
      </w:pPr>
    </w:p>
    <w:p w14:paraId="5D70397D" w14:textId="77777777" w:rsidR="002518DA" w:rsidRDefault="002518DA" w:rsidP="002518DA">
      <w:pPr>
        <w:jc w:val="both"/>
        <w:outlineLvl w:val="2"/>
        <w:rPr>
          <w:rFonts w:eastAsia="Times New Roman" w:cstheme="minorHAnsi"/>
          <w:b/>
          <w:bCs/>
          <w:color w:val="363636"/>
          <w:lang w:eastAsia="it-IT"/>
        </w:rPr>
      </w:pPr>
      <w:r>
        <w:rPr>
          <w:rFonts w:eastAsia="Times New Roman" w:cstheme="minorHAnsi"/>
          <w:b/>
          <w:bCs/>
          <w:color w:val="363636"/>
          <w:lang w:eastAsia="it-IT"/>
        </w:rPr>
        <w:t>Il valore delle “comunità cliniche”: prendersi cura delle persone, in modo collaborativo</w:t>
      </w:r>
    </w:p>
    <w:p w14:paraId="4BC47933" w14:textId="101B10AB" w:rsidR="00DD6FA9" w:rsidRPr="00494A43" w:rsidRDefault="002518DA" w:rsidP="00757805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Il CKP </w:t>
      </w:r>
      <w:r w:rsidR="00494A43">
        <w:rPr>
          <w:rFonts w:eastAsia="Times New Roman" w:cstheme="minorHAnsi"/>
          <w:lang w:eastAsia="it-IT"/>
        </w:rPr>
        <w:t xml:space="preserve">è </w:t>
      </w:r>
      <w:r>
        <w:rPr>
          <w:rFonts w:eastAsia="Times New Roman" w:cstheme="minorHAnsi"/>
          <w:lang w:eastAsia="it-IT"/>
        </w:rPr>
        <w:t>il risultato di un approccio collaborativo di clinici che lavorano su uno strumento condiviso per descrivere e condividere le conoscenze attraverso “comunità cliniche”.</w:t>
      </w:r>
      <w:r w:rsidR="00494A43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Le comunità cliniche propongono, votano e convalidano i </w:t>
      </w:r>
      <w:r w:rsidR="00494A43">
        <w:rPr>
          <w:rFonts w:eastAsia="Times New Roman" w:cstheme="minorHAnsi"/>
          <w:lang w:eastAsia="it-IT"/>
        </w:rPr>
        <w:t>C</w:t>
      </w:r>
      <w:r>
        <w:rPr>
          <w:rFonts w:eastAsia="Times New Roman" w:cstheme="minorHAnsi"/>
          <w:lang w:eastAsia="it-IT"/>
        </w:rPr>
        <w:t>asi d’uso clinici e gli archetipi di concetti clinici, mappandoli (dove non gi</w:t>
      </w:r>
      <w:bookmarkStart w:id="0" w:name="_GoBack"/>
      <w:bookmarkEnd w:id="0"/>
      <w:r>
        <w:rPr>
          <w:rFonts w:eastAsia="Times New Roman" w:cstheme="minorHAnsi"/>
          <w:lang w:eastAsia="it-IT"/>
        </w:rPr>
        <w:t xml:space="preserve">à fatto) a più sistemi di codifica (come </w:t>
      </w:r>
      <w:proofErr w:type="spellStart"/>
      <w:r>
        <w:rPr>
          <w:rFonts w:eastAsia="Times New Roman" w:cstheme="minorHAnsi"/>
          <w:lang w:eastAsia="it-IT"/>
        </w:rPr>
        <w:t>Snomed</w:t>
      </w:r>
      <w:proofErr w:type="spellEnd"/>
      <w:r>
        <w:rPr>
          <w:rFonts w:eastAsia="Times New Roman" w:cstheme="minorHAnsi"/>
          <w:lang w:eastAsia="it-IT"/>
        </w:rPr>
        <w:t xml:space="preserve">, </w:t>
      </w:r>
      <w:proofErr w:type="spellStart"/>
      <w:r>
        <w:rPr>
          <w:rFonts w:eastAsia="Times New Roman" w:cstheme="minorHAnsi"/>
          <w:lang w:eastAsia="it-IT"/>
        </w:rPr>
        <w:t>Loinc</w:t>
      </w:r>
      <w:proofErr w:type="spellEnd"/>
      <w:r>
        <w:rPr>
          <w:rFonts w:eastAsia="Times New Roman" w:cstheme="minorHAnsi"/>
          <w:lang w:eastAsia="it-IT"/>
        </w:rPr>
        <w:t xml:space="preserve">, </w:t>
      </w:r>
      <w:proofErr w:type="spellStart"/>
      <w:r>
        <w:rPr>
          <w:rFonts w:eastAsia="Times New Roman" w:cstheme="minorHAnsi"/>
          <w:lang w:eastAsia="it-IT"/>
        </w:rPr>
        <w:t>Cdisc</w:t>
      </w:r>
      <w:proofErr w:type="spellEnd"/>
      <w:r>
        <w:rPr>
          <w:rFonts w:eastAsia="Times New Roman" w:cstheme="minorHAnsi"/>
          <w:lang w:eastAsia="it-IT"/>
        </w:rPr>
        <w:t xml:space="preserve">, </w:t>
      </w:r>
      <w:proofErr w:type="spellStart"/>
      <w:r>
        <w:rPr>
          <w:rFonts w:eastAsia="Times New Roman" w:cstheme="minorHAnsi"/>
          <w:lang w:eastAsia="it-IT"/>
        </w:rPr>
        <w:t>ecc</w:t>
      </w:r>
      <w:proofErr w:type="spellEnd"/>
      <w:r>
        <w:rPr>
          <w:rFonts w:eastAsia="Times New Roman" w:cstheme="minorHAnsi"/>
          <w:lang w:eastAsia="it-IT"/>
        </w:rPr>
        <w:t>). Un clinico può partecipare a diverse comunità cliniche: quella della sua società scientifica, quella internazionale, una comunità dell’ospedale in cui lavora, la comunità di una scuola di pensiero specifica e così via. Una comunità può essere aperta (quindi tutti i suoi contributi sono disponibili gratuitamente per tutti) o chiusa (con un costo per accedere alla conoscenza). Grazie al lavoro delle comunità cliniche, CKP può crescere e rimanere aggiornato.</w:t>
      </w:r>
    </w:p>
    <w:sectPr w:rsidR="00DD6FA9" w:rsidRPr="00494A43" w:rsidSect="00757805">
      <w:headerReference w:type="default" r:id="rId8"/>
      <w:pgSz w:w="11906" w:h="16838"/>
      <w:pgMar w:top="1347" w:right="1134" w:bottom="1134" w:left="1134" w:header="48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214B" w14:textId="77777777" w:rsidR="005045E2" w:rsidRDefault="005045E2" w:rsidP="00797D4A">
      <w:r>
        <w:separator/>
      </w:r>
    </w:p>
  </w:endnote>
  <w:endnote w:type="continuationSeparator" w:id="0">
    <w:p w14:paraId="716B619B" w14:textId="77777777" w:rsidR="005045E2" w:rsidRDefault="005045E2" w:rsidP="0079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2040503050201020203"/>
    <w:charset w:val="00"/>
    <w:family w:val="auto"/>
    <w:pitch w:val="variable"/>
    <w:sig w:usb0="00000003" w:usb1="00000001" w:usb2="00000000" w:usb3="00000000" w:csb0="0000019F" w:csb1="00000000"/>
  </w:font>
  <w:font w:name="MuseoSans-1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altName w:val="Times New Roman"/>
    <w:charset w:val="00"/>
    <w:family w:val="auto"/>
    <w:pitch w:val="variable"/>
    <w:sig w:usb0="00000003" w:usb1="4000004A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0043" w14:textId="77777777" w:rsidR="005045E2" w:rsidRDefault="005045E2" w:rsidP="00797D4A">
      <w:r>
        <w:separator/>
      </w:r>
    </w:p>
  </w:footnote>
  <w:footnote w:type="continuationSeparator" w:id="0">
    <w:p w14:paraId="0602F416" w14:textId="77777777" w:rsidR="005045E2" w:rsidRDefault="005045E2" w:rsidP="0079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7734" w14:textId="54647D0E" w:rsidR="002518DA" w:rsidRDefault="002518DA" w:rsidP="00757805">
    <w:pPr>
      <w:pStyle w:val="Intestazione"/>
      <w:jc w:val="right"/>
    </w:pPr>
    <w:r>
      <w:rPr>
        <w:noProof/>
      </w:rPr>
      <w:drawing>
        <wp:inline distT="0" distB="0" distL="0" distR="0" wp14:anchorId="2E1E5B41" wp14:editId="79BEED5A">
          <wp:extent cx="515982" cy="596091"/>
          <wp:effectExtent l="0" t="0" r="508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_Logo Dedalu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07" t="25138" r="34883" b="25534"/>
                  <a:stretch/>
                </pic:blipFill>
                <pic:spPr bwMode="auto">
                  <a:xfrm>
                    <a:off x="0" y="0"/>
                    <a:ext cx="522076" cy="603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472"/>
    <w:multiLevelType w:val="hybridMultilevel"/>
    <w:tmpl w:val="1242D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B24"/>
    <w:multiLevelType w:val="hybridMultilevel"/>
    <w:tmpl w:val="93DCE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636AD"/>
    <w:multiLevelType w:val="hybridMultilevel"/>
    <w:tmpl w:val="ACD63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221"/>
    <w:multiLevelType w:val="hybridMultilevel"/>
    <w:tmpl w:val="73004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7E9"/>
    <w:multiLevelType w:val="hybridMultilevel"/>
    <w:tmpl w:val="98CEB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229C"/>
    <w:multiLevelType w:val="hybridMultilevel"/>
    <w:tmpl w:val="F754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0FA4"/>
    <w:multiLevelType w:val="hybridMultilevel"/>
    <w:tmpl w:val="8730A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3A3E"/>
    <w:multiLevelType w:val="hybridMultilevel"/>
    <w:tmpl w:val="45486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60C29"/>
    <w:multiLevelType w:val="hybridMultilevel"/>
    <w:tmpl w:val="51E8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2B23"/>
    <w:multiLevelType w:val="hybridMultilevel"/>
    <w:tmpl w:val="4A923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2C"/>
    <w:rsid w:val="00011236"/>
    <w:rsid w:val="0002188D"/>
    <w:rsid w:val="00022641"/>
    <w:rsid w:val="0002421E"/>
    <w:rsid w:val="00040E38"/>
    <w:rsid w:val="00042B27"/>
    <w:rsid w:val="0005792E"/>
    <w:rsid w:val="000879AC"/>
    <w:rsid w:val="000A0F49"/>
    <w:rsid w:val="000A6AFA"/>
    <w:rsid w:val="000E727D"/>
    <w:rsid w:val="00104A69"/>
    <w:rsid w:val="001238A5"/>
    <w:rsid w:val="00136677"/>
    <w:rsid w:val="00146F50"/>
    <w:rsid w:val="00154D5E"/>
    <w:rsid w:val="001657D2"/>
    <w:rsid w:val="00175CBE"/>
    <w:rsid w:val="00180284"/>
    <w:rsid w:val="001952CC"/>
    <w:rsid w:val="001A78D3"/>
    <w:rsid w:val="001B62AF"/>
    <w:rsid w:val="001D47D0"/>
    <w:rsid w:val="001E3AF6"/>
    <w:rsid w:val="001F4630"/>
    <w:rsid w:val="002009B1"/>
    <w:rsid w:val="002241BA"/>
    <w:rsid w:val="0024555A"/>
    <w:rsid w:val="002518DA"/>
    <w:rsid w:val="00254247"/>
    <w:rsid w:val="002753D9"/>
    <w:rsid w:val="002C5EC8"/>
    <w:rsid w:val="00306BE2"/>
    <w:rsid w:val="003167C7"/>
    <w:rsid w:val="0034107A"/>
    <w:rsid w:val="00383D28"/>
    <w:rsid w:val="00393AA1"/>
    <w:rsid w:val="003E3BC4"/>
    <w:rsid w:val="004369A0"/>
    <w:rsid w:val="004676C7"/>
    <w:rsid w:val="00471F05"/>
    <w:rsid w:val="00494A43"/>
    <w:rsid w:val="004E53F7"/>
    <w:rsid w:val="004F0B9E"/>
    <w:rsid w:val="005045E2"/>
    <w:rsid w:val="00511E28"/>
    <w:rsid w:val="00523413"/>
    <w:rsid w:val="0057674A"/>
    <w:rsid w:val="005878C1"/>
    <w:rsid w:val="0059742A"/>
    <w:rsid w:val="005C4AAF"/>
    <w:rsid w:val="005C7B5A"/>
    <w:rsid w:val="005F2E2D"/>
    <w:rsid w:val="005F5F48"/>
    <w:rsid w:val="006571C9"/>
    <w:rsid w:val="006806CE"/>
    <w:rsid w:val="006859A3"/>
    <w:rsid w:val="006C1E53"/>
    <w:rsid w:val="00715C93"/>
    <w:rsid w:val="00720984"/>
    <w:rsid w:val="007420A3"/>
    <w:rsid w:val="00757805"/>
    <w:rsid w:val="00760B04"/>
    <w:rsid w:val="00797D4A"/>
    <w:rsid w:val="007A56D3"/>
    <w:rsid w:val="007B4039"/>
    <w:rsid w:val="007C0D78"/>
    <w:rsid w:val="007C3097"/>
    <w:rsid w:val="0080300B"/>
    <w:rsid w:val="00834CD5"/>
    <w:rsid w:val="008358F5"/>
    <w:rsid w:val="00836FE6"/>
    <w:rsid w:val="00866C11"/>
    <w:rsid w:val="0086726A"/>
    <w:rsid w:val="00877BE6"/>
    <w:rsid w:val="00886836"/>
    <w:rsid w:val="00891CE5"/>
    <w:rsid w:val="008A4909"/>
    <w:rsid w:val="008C3529"/>
    <w:rsid w:val="008F1428"/>
    <w:rsid w:val="008F7FD2"/>
    <w:rsid w:val="00931BA7"/>
    <w:rsid w:val="0094119F"/>
    <w:rsid w:val="00972D60"/>
    <w:rsid w:val="00975E4B"/>
    <w:rsid w:val="00981045"/>
    <w:rsid w:val="00992D3F"/>
    <w:rsid w:val="009A385F"/>
    <w:rsid w:val="009D220C"/>
    <w:rsid w:val="009E06CF"/>
    <w:rsid w:val="009F70DC"/>
    <w:rsid w:val="00A31937"/>
    <w:rsid w:val="00A53129"/>
    <w:rsid w:val="00A74F1C"/>
    <w:rsid w:val="00AC565A"/>
    <w:rsid w:val="00AD7563"/>
    <w:rsid w:val="00AF147D"/>
    <w:rsid w:val="00AF3BF9"/>
    <w:rsid w:val="00B04E44"/>
    <w:rsid w:val="00B14A9E"/>
    <w:rsid w:val="00B442EE"/>
    <w:rsid w:val="00B45466"/>
    <w:rsid w:val="00B45D08"/>
    <w:rsid w:val="00B47204"/>
    <w:rsid w:val="00B5156B"/>
    <w:rsid w:val="00B87C52"/>
    <w:rsid w:val="00BA6FFF"/>
    <w:rsid w:val="00BB092A"/>
    <w:rsid w:val="00C1039D"/>
    <w:rsid w:val="00C24FE1"/>
    <w:rsid w:val="00C6232C"/>
    <w:rsid w:val="00C65FDE"/>
    <w:rsid w:val="00C801ED"/>
    <w:rsid w:val="00C918EF"/>
    <w:rsid w:val="00C97A47"/>
    <w:rsid w:val="00CA3D34"/>
    <w:rsid w:val="00CC368D"/>
    <w:rsid w:val="00CC38BB"/>
    <w:rsid w:val="00D03299"/>
    <w:rsid w:val="00D12A94"/>
    <w:rsid w:val="00D23755"/>
    <w:rsid w:val="00D25CD1"/>
    <w:rsid w:val="00D35774"/>
    <w:rsid w:val="00D576E6"/>
    <w:rsid w:val="00D624BC"/>
    <w:rsid w:val="00DC0834"/>
    <w:rsid w:val="00DD0669"/>
    <w:rsid w:val="00DD0C7B"/>
    <w:rsid w:val="00DD6FA9"/>
    <w:rsid w:val="00E03B42"/>
    <w:rsid w:val="00E160DC"/>
    <w:rsid w:val="00E21785"/>
    <w:rsid w:val="00E33C39"/>
    <w:rsid w:val="00E46692"/>
    <w:rsid w:val="00EA391C"/>
    <w:rsid w:val="00EE4FDC"/>
    <w:rsid w:val="00F23065"/>
    <w:rsid w:val="00F51FFD"/>
    <w:rsid w:val="00F54672"/>
    <w:rsid w:val="00F81932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0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C6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stobrochure">
    <w:name w:val="testo brochure"/>
    <w:uiPriority w:val="99"/>
    <w:rsid w:val="00C6232C"/>
    <w:rPr>
      <w:rFonts w:ascii="MuseoSans-100" w:hAnsi="MuseoSans-100" w:cs="MuseoSans-100"/>
      <w:color w:val="000000"/>
      <w:sz w:val="22"/>
      <w:szCs w:val="22"/>
    </w:rPr>
  </w:style>
  <w:style w:type="character" w:customStyle="1" w:styleId="TITOLI">
    <w:name w:val="TITOLI"/>
    <w:uiPriority w:val="99"/>
    <w:rsid w:val="00C6232C"/>
    <w:rPr>
      <w:rFonts w:ascii="MuseoSans-700" w:hAnsi="MuseoSans-700" w:cs="MuseoSans-700"/>
      <w:color w:val="546673"/>
      <w:sz w:val="60"/>
      <w:szCs w:val="60"/>
    </w:rPr>
  </w:style>
  <w:style w:type="paragraph" w:styleId="Paragrafoelenco">
    <w:name w:val="List Paragraph"/>
    <w:basedOn w:val="Normale"/>
    <w:uiPriority w:val="34"/>
    <w:qFormat/>
    <w:rsid w:val="00C623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3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39"/>
    <w:rPr>
      <w:rFonts w:ascii="Times New Roman" w:hAnsi="Times New Roman" w:cs="Times New Roman"/>
      <w:sz w:val="18"/>
      <w:szCs w:val="18"/>
    </w:rPr>
  </w:style>
  <w:style w:type="paragraph" w:customStyle="1" w:styleId="Nessunostileparagrafo">
    <w:name w:val="[Nessuno stile paragrafo]"/>
    <w:rsid w:val="008030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D22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22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22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22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220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97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D4A"/>
  </w:style>
  <w:style w:type="paragraph" w:styleId="Pidipagina">
    <w:name w:val="footer"/>
    <w:basedOn w:val="Normale"/>
    <w:link w:val="PidipaginaCarattere"/>
    <w:uiPriority w:val="99"/>
    <w:unhideWhenUsed/>
    <w:rsid w:val="00797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D4A"/>
  </w:style>
  <w:style w:type="character" w:styleId="Collegamentoipertestuale">
    <w:name w:val="Hyperlink"/>
    <w:basedOn w:val="Carpredefinitoparagrafo"/>
    <w:uiPriority w:val="99"/>
    <w:semiHidden/>
    <w:unhideWhenUsed/>
    <w:rsid w:val="0025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89D3-F560-40D9-AFEC-3A205793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Sandroni</dc:creator>
  <cp:keywords/>
  <dc:description/>
  <cp:lastModifiedBy>Francesca Iachetti</cp:lastModifiedBy>
  <cp:revision>4</cp:revision>
  <cp:lastPrinted>2016-09-13T08:31:00Z</cp:lastPrinted>
  <dcterms:created xsi:type="dcterms:W3CDTF">2019-09-27T10:49:00Z</dcterms:created>
  <dcterms:modified xsi:type="dcterms:W3CDTF">2019-09-27T12:44:00Z</dcterms:modified>
</cp:coreProperties>
</file>