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B21D6" w14:textId="0EFF6465" w:rsidR="00797D4A" w:rsidRDefault="00797D4A" w:rsidP="00757805">
      <w:pPr>
        <w:jc w:val="both"/>
      </w:pPr>
    </w:p>
    <w:p w14:paraId="7FD52E23" w14:textId="1DDD2296" w:rsidR="00797D4A" w:rsidRPr="00C1039D" w:rsidRDefault="00797D4A" w:rsidP="00757805">
      <w:pPr>
        <w:jc w:val="both"/>
        <w:rPr>
          <w:rStyle w:val="testobrochure"/>
          <w:rFonts w:ascii="Arial" w:hAnsi="Arial" w:cs="Arial"/>
          <w:b/>
          <w:sz w:val="36"/>
        </w:rPr>
      </w:pPr>
      <w:r>
        <w:rPr>
          <w:rStyle w:val="testobrochure"/>
          <w:rFonts w:ascii="Arial" w:hAnsi="Arial" w:cs="Arial"/>
          <w:b/>
          <w:sz w:val="36"/>
        </w:rPr>
        <w:t>IL GRUPPO</w:t>
      </w:r>
    </w:p>
    <w:p w14:paraId="3155DE1A" w14:textId="1383B3A5" w:rsidR="004F0B9E" w:rsidRPr="00C1039D" w:rsidRDefault="004F0B9E" w:rsidP="00757805">
      <w:pPr>
        <w:jc w:val="both"/>
      </w:pPr>
      <w:r w:rsidRPr="00C1039D">
        <w:t xml:space="preserve">Il Gruppo Dedalus è il primo operatore in Europa nei sistemi informativi </w:t>
      </w:r>
      <w:r w:rsidR="008F1428">
        <w:t xml:space="preserve">diagnostici </w:t>
      </w:r>
      <w:r w:rsidRPr="00C1039D">
        <w:t>ospedalieri ed uno dei maggiori player internazionali nell’ICT sanitario.</w:t>
      </w:r>
    </w:p>
    <w:p w14:paraId="1746334B" w14:textId="77777777" w:rsidR="005F2E2D" w:rsidRPr="00C1039D" w:rsidRDefault="005F2E2D" w:rsidP="00757805">
      <w:pPr>
        <w:jc w:val="both"/>
        <w:rPr>
          <w:rStyle w:val="testobrochure"/>
          <w:rFonts w:ascii="Arial" w:hAnsi="Arial" w:cs="Arial"/>
        </w:rPr>
      </w:pPr>
    </w:p>
    <w:p w14:paraId="227A48CA" w14:textId="3276BA5C" w:rsidR="00C1039D" w:rsidRDefault="0080300B" w:rsidP="00757805">
      <w:pPr>
        <w:jc w:val="both"/>
      </w:pPr>
      <w:r w:rsidRPr="00C1039D">
        <w:t>La società è detenuta dal management e da Ardian, il più grande fondo di Privaty equity Europeo ed il 4° nel mondo. La struttura azionaria garantisce stabilità e grande capacità finanziaria dedicata allo sviluppo di nuovi prodotti ed alle operazioni di consolidamento di un mercato europeo ancora troppo frammentato.</w:t>
      </w:r>
      <w:r w:rsidR="005F2E2D">
        <w:t xml:space="preserve"> </w:t>
      </w:r>
      <w:r w:rsidR="00886836">
        <w:t>A partire dal 2007</w:t>
      </w:r>
      <w:r w:rsidR="00886836" w:rsidRPr="00C1039D">
        <w:t>, il Gruppo Dedalus ha intrapreso un percorso di espansione grazie alla completa copertura funzionale di tutte le esigenze ICT di ogni sistema sanitario (non solo ospedaliero), pubblico o privato.</w:t>
      </w:r>
      <w:r w:rsidR="005F2E2D">
        <w:t xml:space="preserve"> </w:t>
      </w:r>
      <w:r w:rsidR="00886836">
        <w:t xml:space="preserve">Oltre </w:t>
      </w:r>
      <w:r w:rsidR="00975E4B">
        <w:t>70</w:t>
      </w:r>
      <w:r w:rsidR="00886836">
        <w:t xml:space="preserve"> acquisizioni, hanno consentito a Dedalus di concentrare prodotti e professionalità di livello internazionale, consolidando la propria presenza su </w:t>
      </w:r>
      <w:r w:rsidR="00F23065">
        <w:t>diversi settori di mercato e paesi.</w:t>
      </w:r>
      <w:r w:rsidR="005F2E2D">
        <w:t xml:space="preserve"> </w:t>
      </w:r>
      <w:r w:rsidR="000A6AFA">
        <w:t>Oggi impiega circa 2000 persone, di cui oltre 600 dedicate alle attività di ricerca e sviluppo</w:t>
      </w:r>
      <w:r w:rsidR="005F2E2D">
        <w:t xml:space="preserve">. </w:t>
      </w:r>
      <w:r w:rsidR="00C1039D" w:rsidRPr="00C1039D">
        <w:t xml:space="preserve">Le imprese locali, acquisite o in Joint Venture con i maggiori player del luogo, rappresentano il Gruppo Dedalus in tutto il mondo e, ad oggi, ne assicurano la presenza in 25 Paesi, </w:t>
      </w:r>
      <w:r w:rsidR="00F23065">
        <w:t>fra cui</w:t>
      </w:r>
      <w:r w:rsidR="00F23065" w:rsidRPr="00C1039D">
        <w:t xml:space="preserve"> </w:t>
      </w:r>
      <w:r w:rsidR="00C1039D" w:rsidRPr="00C1039D">
        <w:t>Francia, Spagna, UK, USA, America Latina, Cina, Medio Oriente, Nordafrica e Sudafrica.</w:t>
      </w:r>
    </w:p>
    <w:p w14:paraId="0B7F3DCC" w14:textId="00F51041" w:rsidR="000A6AFA" w:rsidRDefault="000A6AFA" w:rsidP="00757805">
      <w:pPr>
        <w:jc w:val="both"/>
      </w:pPr>
    </w:p>
    <w:p w14:paraId="547D2B49" w14:textId="537DC5DD" w:rsidR="00B04E44" w:rsidRPr="00757805" w:rsidRDefault="00011236" w:rsidP="00757805">
      <w:pPr>
        <w:jc w:val="both"/>
        <w:rPr>
          <w:rStyle w:val="testobrochure"/>
          <w:rFonts w:ascii="Arial" w:hAnsi="Arial" w:cs="Arial"/>
          <w:b/>
          <w:sz w:val="36"/>
        </w:rPr>
      </w:pPr>
      <w:r w:rsidRPr="00C24FE1">
        <w:rPr>
          <w:rStyle w:val="testobrochure"/>
          <w:rFonts w:ascii="Arial" w:hAnsi="Arial" w:cs="Arial"/>
          <w:b/>
          <w:sz w:val="36"/>
        </w:rPr>
        <w:t>INVESTIMENTI</w:t>
      </w:r>
    </w:p>
    <w:p w14:paraId="211D7D59" w14:textId="3B8083DF" w:rsidR="00877BE6" w:rsidRDefault="00877BE6" w:rsidP="00757805">
      <w:pPr>
        <w:jc w:val="both"/>
      </w:pPr>
      <w:r>
        <w:t xml:space="preserve">Incubato all’interno di un gruppo internazionale operante nello sviluppo di sistemi </w:t>
      </w:r>
      <w:r w:rsidRPr="00975E4B">
        <w:t>mission critical</w:t>
      </w:r>
      <w:r>
        <w:t xml:space="preserve"> per la difesa, </w:t>
      </w:r>
      <w:r w:rsidR="00C24FE1">
        <w:t>lo spazio</w:t>
      </w:r>
      <w:r>
        <w:t xml:space="preserve"> e le banche, Dedalus ha potuto beneficiare di una cultura metodologica e tecnologica allo stato dell’arte. </w:t>
      </w:r>
    </w:p>
    <w:p w14:paraId="52C6FFEE" w14:textId="0FD8303E" w:rsidR="00B04E44" w:rsidRDefault="00877BE6" w:rsidP="00757805">
      <w:pPr>
        <w:jc w:val="both"/>
      </w:pPr>
      <w:r>
        <w:t>Grazie alla dimensione raggiunta negli ultimi anni tale cultura ha alimentato la realizzazione della nuova offerta</w:t>
      </w:r>
      <w:r w:rsidR="00975E4B">
        <w:t xml:space="preserve">, </w:t>
      </w:r>
      <w:r w:rsidR="00C24FE1">
        <w:t>unica nel panorama mondiale dell’</w:t>
      </w:r>
      <w:r w:rsidR="00975E4B">
        <w:t xml:space="preserve">ICT </w:t>
      </w:r>
      <w:r w:rsidR="00C24FE1">
        <w:t>sanitario, consentendo al</w:t>
      </w:r>
      <w:r>
        <w:t xml:space="preserve">le </w:t>
      </w:r>
      <w:r w:rsidR="00B04E44">
        <w:t xml:space="preserve">600 persone in R&amp;D </w:t>
      </w:r>
      <w:r w:rsidR="00C24FE1">
        <w:t xml:space="preserve">di sviluppare </w:t>
      </w:r>
      <w:r>
        <w:t xml:space="preserve">oltre </w:t>
      </w:r>
      <w:r w:rsidR="00B04E44">
        <w:t>100 milioni di euro</w:t>
      </w:r>
      <w:r w:rsidR="00C24FE1">
        <w:t xml:space="preserve"> di investimenti. </w:t>
      </w:r>
    </w:p>
    <w:p w14:paraId="03A55BB5" w14:textId="77777777" w:rsidR="00C24FE1" w:rsidRDefault="00C24FE1" w:rsidP="00757805">
      <w:pPr>
        <w:jc w:val="both"/>
      </w:pPr>
    </w:p>
    <w:p w14:paraId="5F6289AA" w14:textId="2A869E43" w:rsidR="000A6AFA" w:rsidRPr="00757805" w:rsidRDefault="000A6AFA" w:rsidP="00757805">
      <w:pPr>
        <w:jc w:val="both"/>
        <w:rPr>
          <w:rStyle w:val="testobrochure"/>
          <w:rFonts w:ascii="Arial" w:hAnsi="Arial" w:cs="Arial"/>
          <w:b/>
          <w:sz w:val="36"/>
        </w:rPr>
      </w:pPr>
      <w:r w:rsidRPr="00757805">
        <w:rPr>
          <w:rStyle w:val="testobrochure"/>
          <w:rFonts w:ascii="Arial" w:hAnsi="Arial" w:cs="Arial"/>
          <w:b/>
          <w:sz w:val="36"/>
        </w:rPr>
        <w:t>NUMERI</w:t>
      </w:r>
    </w:p>
    <w:p w14:paraId="09722AF0" w14:textId="443A5951" w:rsidR="000A6AFA" w:rsidRPr="00C1039D" w:rsidRDefault="00B04E44" w:rsidP="00757805">
      <w:pPr>
        <w:jc w:val="both"/>
      </w:pPr>
      <w:r>
        <w:t xml:space="preserve">Con 210 milioni di euro di fatturato, Dedalus garantisce ad </w:t>
      </w:r>
      <w:r w:rsidR="000A6AFA">
        <w:t xml:space="preserve">oltre 1 milione di professionisti della salute </w:t>
      </w:r>
      <w:r>
        <w:t xml:space="preserve">di </w:t>
      </w:r>
      <w:r w:rsidR="000A6AFA">
        <w:t>lavor</w:t>
      </w:r>
      <w:r>
        <w:t>are</w:t>
      </w:r>
      <w:r w:rsidR="000A6AFA">
        <w:t xml:space="preserve"> in tutto il mondo attraverso </w:t>
      </w:r>
      <w:r>
        <w:t xml:space="preserve">le proprie </w:t>
      </w:r>
      <w:r w:rsidR="000A6AFA">
        <w:t xml:space="preserve">soluzioni </w:t>
      </w:r>
      <w:r>
        <w:t>software</w:t>
      </w:r>
      <w:r w:rsidR="000A6AFA">
        <w:t>, in 1500 ospedali, 30.000 reparti e servizi, 3000 laboratori, producendo oltre 3 miliardi di documenti clinici ogni anno, eseguendo 30.000 interventi chirurgici al giorno e 30 milioni di accessi di pronto soccorso ogni anno.</w:t>
      </w:r>
    </w:p>
    <w:p w14:paraId="48473A7C" w14:textId="77777777" w:rsidR="00175CBE" w:rsidRPr="00C1039D" w:rsidRDefault="00175CBE" w:rsidP="00757805">
      <w:pPr>
        <w:jc w:val="both"/>
        <w:rPr>
          <w:rStyle w:val="testobrochure"/>
          <w:rFonts w:ascii="Arial" w:hAnsi="Arial" w:cs="Arial"/>
        </w:rPr>
      </w:pPr>
    </w:p>
    <w:p w14:paraId="6F9B8B00" w14:textId="77777777" w:rsidR="00175CBE" w:rsidRPr="00C1039D" w:rsidRDefault="00175CBE" w:rsidP="00757805">
      <w:pPr>
        <w:jc w:val="both"/>
        <w:rPr>
          <w:rStyle w:val="testobrochure"/>
          <w:rFonts w:ascii="Arial" w:hAnsi="Arial" w:cs="Arial"/>
          <w:b/>
          <w:sz w:val="36"/>
        </w:rPr>
      </w:pPr>
      <w:r w:rsidRPr="00C1039D">
        <w:rPr>
          <w:rStyle w:val="testobrochure"/>
          <w:rFonts w:ascii="Arial" w:hAnsi="Arial" w:cs="Arial"/>
          <w:b/>
          <w:sz w:val="36"/>
        </w:rPr>
        <w:t>VALORI</w:t>
      </w:r>
    </w:p>
    <w:p w14:paraId="1D424348" w14:textId="3C42A079" w:rsidR="00C1039D" w:rsidRPr="00C1039D" w:rsidRDefault="00C1039D" w:rsidP="00757805">
      <w:pPr>
        <w:jc w:val="both"/>
      </w:pPr>
      <w:r w:rsidRPr="00C1039D">
        <w:t>I bisogni clinico-sanitari di oggi e di domani richiedono un radicale cambio di paradigma: dall’approccio per “episodio” alla “continuità di cura”, con la persona ed i suoi bisogni realmente al centro del processo. Il Gruppo Dedalus vuole supportare le organizzazioni sanitarie</w:t>
      </w:r>
      <w:r w:rsidR="00F23065">
        <w:t>, i loro professionisti</w:t>
      </w:r>
      <w:r w:rsidRPr="00C1039D">
        <w:t xml:space="preserve"> e le persone grazie ad un approccio innovativo basato su soluzioni complete e orientate ai processi</w:t>
      </w:r>
      <w:r w:rsidR="00F23065">
        <w:t>, centrate sulla collaborazione clinica e l'ottimizzazione dei processi, in grado di essere attivate progressivamente, salvaguardando gli investimenti che i nostri clienti hanno fatto in passato.</w:t>
      </w:r>
      <w:r w:rsidR="00F23065" w:rsidRPr="00F23065">
        <w:t xml:space="preserve"> </w:t>
      </w:r>
    </w:p>
    <w:p w14:paraId="74CE4E53" w14:textId="09166902" w:rsidR="00757805" w:rsidRDefault="00C1039D" w:rsidP="00757805">
      <w:pPr>
        <w:jc w:val="both"/>
        <w:rPr>
          <w:rStyle w:val="testobrochure"/>
          <w:rFonts w:asciiTheme="minorHAnsi" w:hAnsiTheme="minorHAnsi" w:cstheme="minorBidi"/>
          <w:color w:val="auto"/>
          <w:sz w:val="24"/>
          <w:szCs w:val="24"/>
        </w:rPr>
      </w:pPr>
      <w:r w:rsidRPr="00C1039D">
        <w:t>La persona</w:t>
      </w:r>
      <w:r w:rsidR="00F23065">
        <w:t>, come soggetto complesso portatore di numerosi bisogni,</w:t>
      </w:r>
      <w:r w:rsidRPr="00C1039D">
        <w:t xml:space="preserve"> è il punto di arrivo delle attività del Gruppo e il beneficiario final</w:t>
      </w:r>
      <w:r w:rsidR="00F23065">
        <w:t xml:space="preserve">e. Per questo motivo </w:t>
      </w:r>
      <w:r w:rsidR="00797D4A">
        <w:t xml:space="preserve">le persone che operano in Dedalus sono </w:t>
      </w:r>
      <w:r w:rsidRPr="00C1039D">
        <w:t>consapevoli e davvero orgoglios</w:t>
      </w:r>
      <w:r w:rsidR="00797D4A">
        <w:t xml:space="preserve">e </w:t>
      </w:r>
      <w:r w:rsidRPr="00C1039D">
        <w:t>di svolgere un “lavoro speciale”</w:t>
      </w:r>
      <w:r w:rsidR="00757805">
        <w:t>.</w:t>
      </w:r>
    </w:p>
    <w:p w14:paraId="3BC72ABF" w14:textId="77777777" w:rsidR="00757805" w:rsidRPr="00757805" w:rsidRDefault="00757805" w:rsidP="00757805">
      <w:pPr>
        <w:jc w:val="both"/>
        <w:rPr>
          <w:rStyle w:val="testobrochure"/>
          <w:rFonts w:asciiTheme="minorHAnsi" w:hAnsiTheme="minorHAnsi" w:cstheme="minorBidi"/>
          <w:color w:val="auto"/>
          <w:sz w:val="24"/>
          <w:szCs w:val="24"/>
        </w:rPr>
      </w:pPr>
    </w:p>
    <w:p w14:paraId="333C3AA3" w14:textId="31787286" w:rsidR="008A4909" w:rsidRPr="00C1039D" w:rsidRDefault="008A4909" w:rsidP="00757805">
      <w:pPr>
        <w:jc w:val="both"/>
        <w:rPr>
          <w:rStyle w:val="testobrochure"/>
          <w:rFonts w:ascii="Arial" w:hAnsi="Arial" w:cs="Arial"/>
          <w:b/>
          <w:sz w:val="36"/>
        </w:rPr>
      </w:pPr>
      <w:r w:rsidRPr="00C1039D">
        <w:rPr>
          <w:rStyle w:val="testobrochure"/>
          <w:rFonts w:ascii="Arial" w:hAnsi="Arial" w:cs="Arial"/>
          <w:b/>
          <w:sz w:val="36"/>
        </w:rPr>
        <w:t>OFFERTA</w:t>
      </w:r>
    </w:p>
    <w:p w14:paraId="1A215C86" w14:textId="1517649E" w:rsidR="00757805" w:rsidRDefault="00F23065" w:rsidP="00757805">
      <w:pPr>
        <w:jc w:val="both"/>
      </w:pPr>
      <w:r>
        <w:t>La strategia D-Four è la soluzione che Dedalus propone per affrontare i problemi dell'innovazione senza discontinuità e stress per professionisti e organizzazioni.</w:t>
      </w:r>
    </w:p>
    <w:p w14:paraId="217FFDE3" w14:textId="77777777" w:rsidR="00757805" w:rsidRDefault="00757805" w:rsidP="00757805">
      <w:pPr>
        <w:jc w:val="both"/>
      </w:pPr>
    </w:p>
    <w:p w14:paraId="71CEC29C" w14:textId="77777777" w:rsidR="00757805" w:rsidRDefault="00757805" w:rsidP="00757805">
      <w:pPr>
        <w:jc w:val="both"/>
      </w:pPr>
    </w:p>
    <w:p w14:paraId="1115A365" w14:textId="3F7F7825" w:rsidR="00797D4A" w:rsidRPr="00C1039D" w:rsidRDefault="00F23065" w:rsidP="00757805">
      <w:pPr>
        <w:jc w:val="both"/>
      </w:pPr>
      <w:r>
        <w:t>Dedalus ritiene che sia possibile innovare l'IT sanitario con un approccio progressivo e aperto, fornendo ai propri clienti la piena padronanza delle loro strategie di evoluzione.</w:t>
      </w:r>
      <w:r w:rsidR="005F2E2D">
        <w:t xml:space="preserve"> </w:t>
      </w:r>
      <w:r w:rsidR="001E3AF6">
        <w:t xml:space="preserve">La piattaforma </w:t>
      </w:r>
      <w:r>
        <w:t>D-Four consente di "innestare" nuove componenti che forniscono funzionalità aggiuntive alla soluzione Dedalus esistente, senza creare interruzioni della soluzione precedente che può continuare a funzionare in parallelo.</w:t>
      </w:r>
      <w:r w:rsidR="001E3AF6">
        <w:t xml:space="preserve"> </w:t>
      </w:r>
      <w:r>
        <w:t>In questo modo, i professionisti possono concentrarsi sul come utilizzare le funzionalità messe a disposizione dal nuovo componente nell’ambito del loro processo abituale.</w:t>
      </w:r>
      <w:r w:rsidR="005F2E2D">
        <w:t xml:space="preserve"> </w:t>
      </w:r>
      <w:r>
        <w:t>Inserendo progressivamente più componenti in un certo lasso di tempo, l'intera soluzione sarà completamente innovata, evitando le interruzioni e le difficoltà legate al processo di sostituzione (migrazioni complesse, mancanza di dati, disagio dei professionisti).</w:t>
      </w:r>
      <w:r w:rsidR="00757805">
        <w:t xml:space="preserve"> </w:t>
      </w:r>
      <w:r w:rsidR="00C1039D" w:rsidRPr="00C1039D">
        <w:t>L’offerta del Gruppo Dedalus è in grado di coprire interamente i bisogni clinico-sanitari</w:t>
      </w:r>
      <w:r w:rsidR="00797D4A">
        <w:t xml:space="preserve"> in tutte le fasi del percorso: dalla prevenzione alla diagnosi precoce, alla diagnostica in tutte le sue modalità, al trattamento, follow-up e riabilitazione.</w:t>
      </w:r>
    </w:p>
    <w:p w14:paraId="35ACB267" w14:textId="77777777" w:rsidR="00834CD5" w:rsidRPr="00C1039D" w:rsidRDefault="00834CD5" w:rsidP="00757805">
      <w:pPr>
        <w:jc w:val="both"/>
        <w:rPr>
          <w:rStyle w:val="testobrochure"/>
          <w:rFonts w:ascii="Arial" w:hAnsi="Arial" w:cs="Arial"/>
        </w:rPr>
      </w:pPr>
    </w:p>
    <w:p w14:paraId="3D44EAA4" w14:textId="77777777" w:rsidR="00834CD5" w:rsidRPr="00C1039D" w:rsidRDefault="00834CD5" w:rsidP="00757805">
      <w:pPr>
        <w:jc w:val="both"/>
        <w:rPr>
          <w:rStyle w:val="testobrochure"/>
          <w:rFonts w:ascii="Arial" w:hAnsi="Arial" w:cs="Arial"/>
          <w:b/>
        </w:rPr>
      </w:pPr>
      <w:r w:rsidRPr="00C1039D">
        <w:rPr>
          <w:rStyle w:val="testobrochure"/>
          <w:rFonts w:ascii="Arial" w:hAnsi="Arial" w:cs="Arial"/>
          <w:b/>
        </w:rPr>
        <w:t>Aree Strategiche</w:t>
      </w:r>
    </w:p>
    <w:p w14:paraId="17EA6B86" w14:textId="18310680" w:rsidR="00C1039D" w:rsidRPr="00C1039D" w:rsidRDefault="00C1039D" w:rsidP="00757805">
      <w:pPr>
        <w:jc w:val="both"/>
      </w:pPr>
      <w:r w:rsidRPr="00C1039D">
        <w:rPr>
          <w:color w:val="546773"/>
        </w:rPr>
        <w:t>Patient Administration System</w:t>
      </w:r>
      <w:r w:rsidRPr="00C1039D">
        <w:t xml:space="preserve"> - Soluzioni a supporto delle attività di gestione amministrativa del paziente di strutture Pubbliche e Private (Emergenza-Urgenza, Accoglienza e Gestione, ecc.). L’attuale parco clienti comprende </w:t>
      </w:r>
      <w:r w:rsidR="00B5156B">
        <w:t xml:space="preserve">oltre </w:t>
      </w:r>
      <w:r w:rsidRPr="00C1039D">
        <w:t>1</w:t>
      </w:r>
      <w:r w:rsidR="00B5156B">
        <w:t>5</w:t>
      </w:r>
      <w:r w:rsidRPr="00C1039D">
        <w:t>00 Ospedali in tutto il mondo</w:t>
      </w:r>
    </w:p>
    <w:p w14:paraId="172BB445" w14:textId="77777777" w:rsidR="00C1039D" w:rsidRPr="00C1039D" w:rsidRDefault="00C1039D" w:rsidP="00757805">
      <w:pPr>
        <w:jc w:val="both"/>
      </w:pPr>
      <w:r w:rsidRPr="00C1039D">
        <w:rPr>
          <w:color w:val="546773"/>
        </w:rPr>
        <w:t>Clinical Information System</w:t>
      </w:r>
      <w:r w:rsidRPr="00C1039D">
        <w:t xml:space="preserve"> - Prodotti dedicati alle attività cliniche (Sale Operatorie, Collaborazione Clinica, Ciclo di Vita del Farmaco, ecc.)</w:t>
      </w:r>
      <w:r w:rsidR="00B5156B">
        <w:t>, progettati per la massima usabilità ed ergonomia per i diversi scenari operativi di utilizzo.</w:t>
      </w:r>
    </w:p>
    <w:p w14:paraId="02AF8493" w14:textId="199015BD" w:rsidR="00C1039D" w:rsidRPr="00C1039D" w:rsidRDefault="00C1039D" w:rsidP="00757805">
      <w:pPr>
        <w:jc w:val="both"/>
      </w:pPr>
      <w:r w:rsidRPr="00C1039D">
        <w:rPr>
          <w:color w:val="546773"/>
        </w:rPr>
        <w:t>Technical Solutions</w:t>
      </w:r>
      <w:r w:rsidRPr="00C1039D">
        <w:t xml:space="preserve"> – Tecnologie al servizio della farmacia, della tracciabilità degli oggetti (Internet of Things) e dell’archiviazione di grandi volumi di dati e immagini</w:t>
      </w:r>
      <w:r w:rsidR="00B5156B">
        <w:t xml:space="preserve"> cliniche</w:t>
      </w:r>
      <w:r w:rsidR="00797D4A">
        <w:t xml:space="preserve"> (digital imaging)</w:t>
      </w:r>
    </w:p>
    <w:p w14:paraId="227DB626" w14:textId="77777777" w:rsidR="00C1039D" w:rsidRPr="00C1039D" w:rsidRDefault="00C1039D" w:rsidP="00757805">
      <w:pPr>
        <w:jc w:val="both"/>
      </w:pPr>
      <w:r w:rsidRPr="00C1039D">
        <w:rPr>
          <w:color w:val="546773"/>
        </w:rPr>
        <w:t>Administration &amp; Management</w:t>
      </w:r>
      <w:r w:rsidRPr="00C1039D">
        <w:t xml:space="preserve"> – Soluzioni a supporto dei processi amministrativi, logistici e di gestione delle risorse umane</w:t>
      </w:r>
    </w:p>
    <w:p w14:paraId="4BC192DE" w14:textId="2BD314EC" w:rsidR="00C1039D" w:rsidRPr="00C1039D" w:rsidRDefault="00C1039D" w:rsidP="00757805">
      <w:pPr>
        <w:jc w:val="both"/>
      </w:pPr>
      <w:r w:rsidRPr="00C1039D">
        <w:rPr>
          <w:color w:val="546773"/>
        </w:rPr>
        <w:t xml:space="preserve">Primary Care </w:t>
      </w:r>
      <w:r w:rsidRPr="00C1039D">
        <w:t>- Soluzioni software per l</w:t>
      </w:r>
      <w:r w:rsidR="00B04E44">
        <w:t>a prevenzione, la cura delle cronicità, la gest</w:t>
      </w:r>
      <w:r w:rsidR="008C3C58">
        <w:t>i</w:t>
      </w:r>
      <w:bookmarkStart w:id="0" w:name="_GoBack"/>
      <w:bookmarkEnd w:id="0"/>
      <w:r w:rsidR="00B04E44">
        <w:t xml:space="preserve">one dei pazienti fragili e delle attività socio-sanitarie, </w:t>
      </w:r>
      <w:r w:rsidRPr="00C1039D">
        <w:t>e per i Medici di Medicina Generale</w:t>
      </w:r>
    </w:p>
    <w:p w14:paraId="5C2C2EEE" w14:textId="77777777" w:rsidR="00C1039D" w:rsidRPr="00C1039D" w:rsidRDefault="00C1039D" w:rsidP="00757805">
      <w:pPr>
        <w:jc w:val="both"/>
      </w:pPr>
      <w:r w:rsidRPr="00C1039D">
        <w:rPr>
          <w:color w:val="546773"/>
        </w:rPr>
        <w:t>Interoperability &amp; Cooperation</w:t>
      </w:r>
      <w:r w:rsidRPr="00C1039D">
        <w:t xml:space="preserve"> - Soluzioni in grado di abilitare processi di cooperazione clinico-sanitaria centrati sulla persona a supporto di Enti Locali, Regionali e Centrali</w:t>
      </w:r>
    </w:p>
    <w:p w14:paraId="261149F6" w14:textId="77777777" w:rsidR="00C1039D" w:rsidRPr="00C1039D" w:rsidRDefault="00C1039D" w:rsidP="00757805">
      <w:pPr>
        <w:jc w:val="both"/>
      </w:pPr>
      <w:r w:rsidRPr="00C1039D">
        <w:rPr>
          <w:color w:val="546773"/>
        </w:rPr>
        <w:t>Business Intelligence Algorithms</w:t>
      </w:r>
      <w:r w:rsidRPr="00C1039D">
        <w:t xml:space="preserve"> - Strumenti per l’analisi di dati strutturati e de-strutturati a supporto dei processi decisionali strategici</w:t>
      </w:r>
    </w:p>
    <w:p w14:paraId="004F329F" w14:textId="77777777" w:rsidR="00C1039D" w:rsidRPr="00C1039D" w:rsidRDefault="00C1039D" w:rsidP="00757805">
      <w:pPr>
        <w:jc w:val="both"/>
      </w:pPr>
      <w:r w:rsidRPr="00C1039D">
        <w:rPr>
          <w:color w:val="546773"/>
        </w:rPr>
        <w:t>Diagnostic Information System</w:t>
      </w:r>
      <w:r w:rsidRPr="00C1039D">
        <w:t xml:space="preserve"> - Soluzioni a supporto dei servizi diagnostici (LIS, AIS, RIS)</w:t>
      </w:r>
      <w:r w:rsidR="00B5156B">
        <w:t xml:space="preserve"> in una logica sempre più integrata</w:t>
      </w:r>
    </w:p>
    <w:p w14:paraId="79559F7A" w14:textId="77777777" w:rsidR="00C1039D" w:rsidRPr="00C1039D" w:rsidRDefault="00C1039D" w:rsidP="00757805">
      <w:pPr>
        <w:jc w:val="both"/>
      </w:pPr>
      <w:r w:rsidRPr="00C1039D">
        <w:rPr>
          <w:color w:val="546773"/>
        </w:rPr>
        <w:t>Food Environment Safety</w:t>
      </w:r>
      <w:r w:rsidRPr="00C1039D">
        <w:t xml:space="preserve"> - Gamma completa di soluzioni a supporto di Enti nazionali o regionali per la prevenzione dei rischi</w:t>
      </w:r>
    </w:p>
    <w:p w14:paraId="0573C78D" w14:textId="77777777" w:rsidR="005F2E2D" w:rsidRDefault="005F2E2D" w:rsidP="005F2E2D">
      <w:pPr>
        <w:jc w:val="both"/>
        <w:rPr>
          <w:rStyle w:val="testobrochure"/>
          <w:rFonts w:ascii="Arial" w:hAnsi="Arial" w:cs="Arial"/>
          <w:b/>
          <w:sz w:val="36"/>
        </w:rPr>
      </w:pPr>
    </w:p>
    <w:p w14:paraId="1F791281" w14:textId="2E68CC56" w:rsidR="0094119F" w:rsidRPr="00C1039D" w:rsidRDefault="0094119F" w:rsidP="00757805">
      <w:pPr>
        <w:jc w:val="both"/>
        <w:rPr>
          <w:rStyle w:val="testobrochure"/>
          <w:rFonts w:ascii="Arial" w:hAnsi="Arial" w:cs="Arial"/>
          <w:b/>
          <w:sz w:val="36"/>
        </w:rPr>
      </w:pPr>
      <w:r w:rsidRPr="00C1039D">
        <w:rPr>
          <w:rStyle w:val="testobrochure"/>
          <w:rFonts w:ascii="Arial" w:hAnsi="Arial" w:cs="Arial"/>
          <w:b/>
          <w:sz w:val="36"/>
        </w:rPr>
        <w:t>INTERNAZIONALE</w:t>
      </w:r>
    </w:p>
    <w:p w14:paraId="4CC6350E" w14:textId="112AC947" w:rsidR="00992D3F" w:rsidRPr="00757805" w:rsidRDefault="00C1039D" w:rsidP="00757805">
      <w:pPr>
        <w:jc w:val="both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C1039D">
        <w:t>La grande esperienza acquisita in tutte le aree strategiche può essere sfruttata per ottimizzare e migliorare i sistemi regionali</w:t>
      </w:r>
      <w:r w:rsidR="00B5156B">
        <w:t xml:space="preserve"> e nazionali</w:t>
      </w:r>
      <w:r w:rsidRPr="00C1039D">
        <w:t xml:space="preserve">, </w:t>
      </w:r>
      <w:r w:rsidR="00B5156B">
        <w:t>in particolare nei paesi</w:t>
      </w:r>
      <w:r w:rsidRPr="00C1039D">
        <w:t xml:space="preserve"> che richiedono un sostanziale efficientamento economico, una migliore qualità dei servizi al cittadino e un miglioramento della qualità delle cure negli anni a venire.</w:t>
      </w:r>
      <w:r w:rsidR="005F2E2D">
        <w:t xml:space="preserve"> </w:t>
      </w:r>
      <w:r w:rsidRPr="00C1039D">
        <w:t>A livello internazionale, il Gruppo Dedalus contribuisce al disegno e alla realizzazione di importanti progetti strategici supportando, grazie alle eccellenti competenze e tecnologie, quei Paesi che hanno deciso di riformare o realizzare i loro sistemi sanitari con sistemi informativi innovativi e allo stato dell’arte</w:t>
      </w:r>
      <w:r w:rsidR="00757805">
        <w:t>.</w:t>
      </w:r>
    </w:p>
    <w:sectPr w:rsidR="00992D3F" w:rsidRPr="00757805" w:rsidSect="00757805">
      <w:headerReference w:type="default" r:id="rId8"/>
      <w:pgSz w:w="11906" w:h="16838"/>
      <w:pgMar w:top="1347" w:right="1134" w:bottom="1134" w:left="1134" w:header="48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D3292" w14:textId="77777777" w:rsidR="00C530A5" w:rsidRDefault="00C530A5" w:rsidP="00797D4A">
      <w:r>
        <w:separator/>
      </w:r>
    </w:p>
  </w:endnote>
  <w:endnote w:type="continuationSeparator" w:id="0">
    <w:p w14:paraId="55AB66D5" w14:textId="77777777" w:rsidR="00C530A5" w:rsidRDefault="00C530A5" w:rsidP="0079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2040503050201020203"/>
    <w:charset w:val="00"/>
    <w:family w:val="auto"/>
    <w:pitch w:val="variable"/>
    <w:sig w:usb0="00000003" w:usb1="00000001" w:usb2="00000000" w:usb3="00000000" w:csb0="0000019F" w:csb1="00000000"/>
  </w:font>
  <w:font w:name="MuseoSans-1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MuseoSans-700">
    <w:altName w:val="Times New Roman"/>
    <w:charset w:val="00"/>
    <w:family w:val="auto"/>
    <w:pitch w:val="variable"/>
    <w:sig w:usb0="00000003" w:usb1="4000004A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937E9" w14:textId="77777777" w:rsidR="00C530A5" w:rsidRDefault="00C530A5" w:rsidP="00797D4A">
      <w:r>
        <w:separator/>
      </w:r>
    </w:p>
  </w:footnote>
  <w:footnote w:type="continuationSeparator" w:id="0">
    <w:p w14:paraId="67D8B329" w14:textId="77777777" w:rsidR="00C530A5" w:rsidRDefault="00C530A5" w:rsidP="00797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D7734" w14:textId="54647D0E" w:rsidR="00797D4A" w:rsidRDefault="00797D4A" w:rsidP="00757805">
    <w:pPr>
      <w:pStyle w:val="Intestazione"/>
      <w:jc w:val="right"/>
    </w:pPr>
    <w:r>
      <w:rPr>
        <w:noProof/>
      </w:rPr>
      <w:drawing>
        <wp:inline distT="0" distB="0" distL="0" distR="0" wp14:anchorId="2E1E5B41" wp14:editId="79BEED5A">
          <wp:extent cx="515982" cy="596091"/>
          <wp:effectExtent l="0" t="0" r="508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_Logo Dedalu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07" t="25138" r="34883" b="25534"/>
                  <a:stretch/>
                </pic:blipFill>
                <pic:spPr bwMode="auto">
                  <a:xfrm>
                    <a:off x="0" y="0"/>
                    <a:ext cx="522076" cy="6031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472"/>
    <w:multiLevelType w:val="hybridMultilevel"/>
    <w:tmpl w:val="1242D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2B24"/>
    <w:multiLevelType w:val="hybridMultilevel"/>
    <w:tmpl w:val="93DCE0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636AD"/>
    <w:multiLevelType w:val="hybridMultilevel"/>
    <w:tmpl w:val="ACD63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27221"/>
    <w:multiLevelType w:val="hybridMultilevel"/>
    <w:tmpl w:val="73004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957E9"/>
    <w:multiLevelType w:val="hybridMultilevel"/>
    <w:tmpl w:val="98CEB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E229C"/>
    <w:multiLevelType w:val="hybridMultilevel"/>
    <w:tmpl w:val="F754F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A0FA4"/>
    <w:multiLevelType w:val="hybridMultilevel"/>
    <w:tmpl w:val="8730A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33A3E"/>
    <w:multiLevelType w:val="hybridMultilevel"/>
    <w:tmpl w:val="45486A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F60C29"/>
    <w:multiLevelType w:val="hybridMultilevel"/>
    <w:tmpl w:val="51E8B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E2B23"/>
    <w:multiLevelType w:val="hybridMultilevel"/>
    <w:tmpl w:val="4A923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32C"/>
    <w:rsid w:val="00011236"/>
    <w:rsid w:val="0002188D"/>
    <w:rsid w:val="00022641"/>
    <w:rsid w:val="0002421E"/>
    <w:rsid w:val="00040E38"/>
    <w:rsid w:val="00042B27"/>
    <w:rsid w:val="0005792E"/>
    <w:rsid w:val="000879AC"/>
    <w:rsid w:val="000A0F49"/>
    <w:rsid w:val="000A6AFA"/>
    <w:rsid w:val="000E727D"/>
    <w:rsid w:val="00104A69"/>
    <w:rsid w:val="001238A5"/>
    <w:rsid w:val="00136677"/>
    <w:rsid w:val="00146F50"/>
    <w:rsid w:val="00154D5E"/>
    <w:rsid w:val="001657D2"/>
    <w:rsid w:val="00175CBE"/>
    <w:rsid w:val="00180284"/>
    <w:rsid w:val="001952CC"/>
    <w:rsid w:val="001A78D3"/>
    <w:rsid w:val="001B62AF"/>
    <w:rsid w:val="001D47D0"/>
    <w:rsid w:val="001E3AF6"/>
    <w:rsid w:val="001F4630"/>
    <w:rsid w:val="002009B1"/>
    <w:rsid w:val="002241BA"/>
    <w:rsid w:val="0024555A"/>
    <w:rsid w:val="00254247"/>
    <w:rsid w:val="002753D9"/>
    <w:rsid w:val="002C5EC8"/>
    <w:rsid w:val="00306BE2"/>
    <w:rsid w:val="003167C7"/>
    <w:rsid w:val="0034107A"/>
    <w:rsid w:val="00383D28"/>
    <w:rsid w:val="003E3BC4"/>
    <w:rsid w:val="004369A0"/>
    <w:rsid w:val="004676C7"/>
    <w:rsid w:val="00471F05"/>
    <w:rsid w:val="004E53F7"/>
    <w:rsid w:val="004F0B9E"/>
    <w:rsid w:val="00511E28"/>
    <w:rsid w:val="00523413"/>
    <w:rsid w:val="0057674A"/>
    <w:rsid w:val="005878C1"/>
    <w:rsid w:val="0059742A"/>
    <w:rsid w:val="005C4AAF"/>
    <w:rsid w:val="005C7B5A"/>
    <w:rsid w:val="005F2E2D"/>
    <w:rsid w:val="005F5F48"/>
    <w:rsid w:val="006571C9"/>
    <w:rsid w:val="006806CE"/>
    <w:rsid w:val="006859A3"/>
    <w:rsid w:val="006C1E53"/>
    <w:rsid w:val="00715C93"/>
    <w:rsid w:val="00720984"/>
    <w:rsid w:val="007420A3"/>
    <w:rsid w:val="00757805"/>
    <w:rsid w:val="00760B04"/>
    <w:rsid w:val="00797D4A"/>
    <w:rsid w:val="007A56D3"/>
    <w:rsid w:val="007B4039"/>
    <w:rsid w:val="007C0D78"/>
    <w:rsid w:val="007C3097"/>
    <w:rsid w:val="0080300B"/>
    <w:rsid w:val="00834CD5"/>
    <w:rsid w:val="008358F5"/>
    <w:rsid w:val="00836FE6"/>
    <w:rsid w:val="00866C11"/>
    <w:rsid w:val="0086726A"/>
    <w:rsid w:val="00877BE6"/>
    <w:rsid w:val="00886836"/>
    <w:rsid w:val="00891CE5"/>
    <w:rsid w:val="008A4909"/>
    <w:rsid w:val="008C3529"/>
    <w:rsid w:val="008C3C58"/>
    <w:rsid w:val="008F1428"/>
    <w:rsid w:val="008F7FD2"/>
    <w:rsid w:val="00931BA7"/>
    <w:rsid w:val="0094119F"/>
    <w:rsid w:val="00972D60"/>
    <w:rsid w:val="00975E4B"/>
    <w:rsid w:val="00981045"/>
    <w:rsid w:val="00992D3F"/>
    <w:rsid w:val="009A385F"/>
    <w:rsid w:val="009D220C"/>
    <w:rsid w:val="009E06CF"/>
    <w:rsid w:val="009F70DC"/>
    <w:rsid w:val="00A31937"/>
    <w:rsid w:val="00A53129"/>
    <w:rsid w:val="00A74F1C"/>
    <w:rsid w:val="00AC565A"/>
    <w:rsid w:val="00AD7563"/>
    <w:rsid w:val="00AF147D"/>
    <w:rsid w:val="00AF3BF9"/>
    <w:rsid w:val="00B04E44"/>
    <w:rsid w:val="00B14A9E"/>
    <w:rsid w:val="00B442EE"/>
    <w:rsid w:val="00B45466"/>
    <w:rsid w:val="00B45D08"/>
    <w:rsid w:val="00B47204"/>
    <w:rsid w:val="00B5156B"/>
    <w:rsid w:val="00B87C52"/>
    <w:rsid w:val="00BA6FFF"/>
    <w:rsid w:val="00BB092A"/>
    <w:rsid w:val="00C1039D"/>
    <w:rsid w:val="00C24FE1"/>
    <w:rsid w:val="00C530A5"/>
    <w:rsid w:val="00C6232C"/>
    <w:rsid w:val="00C801ED"/>
    <w:rsid w:val="00C97A47"/>
    <w:rsid w:val="00CA3D34"/>
    <w:rsid w:val="00CC368D"/>
    <w:rsid w:val="00CC38BB"/>
    <w:rsid w:val="00D03299"/>
    <w:rsid w:val="00D12A94"/>
    <w:rsid w:val="00D23755"/>
    <w:rsid w:val="00D25CD1"/>
    <w:rsid w:val="00D35774"/>
    <w:rsid w:val="00D576E6"/>
    <w:rsid w:val="00D624BC"/>
    <w:rsid w:val="00DC0834"/>
    <w:rsid w:val="00DD0C7B"/>
    <w:rsid w:val="00E03B42"/>
    <w:rsid w:val="00E160DC"/>
    <w:rsid w:val="00E21785"/>
    <w:rsid w:val="00E33C39"/>
    <w:rsid w:val="00E46692"/>
    <w:rsid w:val="00EA391C"/>
    <w:rsid w:val="00EE4FDC"/>
    <w:rsid w:val="00F23065"/>
    <w:rsid w:val="00F51FFD"/>
    <w:rsid w:val="00F54672"/>
    <w:rsid w:val="00F81932"/>
    <w:rsid w:val="00FD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0E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C623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estobrochure">
    <w:name w:val="testo brochure"/>
    <w:uiPriority w:val="99"/>
    <w:rsid w:val="00C6232C"/>
    <w:rPr>
      <w:rFonts w:ascii="MuseoSans-100" w:hAnsi="MuseoSans-100" w:cs="MuseoSans-100"/>
      <w:color w:val="000000"/>
      <w:sz w:val="22"/>
      <w:szCs w:val="22"/>
    </w:rPr>
  </w:style>
  <w:style w:type="character" w:customStyle="1" w:styleId="TITOLI">
    <w:name w:val="TITOLI"/>
    <w:uiPriority w:val="99"/>
    <w:rsid w:val="00C6232C"/>
    <w:rPr>
      <w:rFonts w:ascii="MuseoSans-700" w:hAnsi="MuseoSans-700" w:cs="MuseoSans-700"/>
      <w:color w:val="546673"/>
      <w:sz w:val="60"/>
      <w:szCs w:val="60"/>
    </w:rPr>
  </w:style>
  <w:style w:type="paragraph" w:styleId="Paragrafoelenco">
    <w:name w:val="List Paragraph"/>
    <w:basedOn w:val="Normale"/>
    <w:uiPriority w:val="34"/>
    <w:qFormat/>
    <w:rsid w:val="00C6232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C3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C39"/>
    <w:rPr>
      <w:rFonts w:ascii="Times New Roman" w:hAnsi="Times New Roman" w:cs="Times New Roman"/>
      <w:sz w:val="18"/>
      <w:szCs w:val="18"/>
    </w:rPr>
  </w:style>
  <w:style w:type="paragraph" w:customStyle="1" w:styleId="Nessunostileparagrafo">
    <w:name w:val="[Nessuno stile paragrafo]"/>
    <w:rsid w:val="0080300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9D22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22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22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22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220C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97D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D4A"/>
  </w:style>
  <w:style w:type="paragraph" w:styleId="Pidipagina">
    <w:name w:val="footer"/>
    <w:basedOn w:val="Normale"/>
    <w:link w:val="PidipaginaCarattere"/>
    <w:uiPriority w:val="99"/>
    <w:unhideWhenUsed/>
    <w:rsid w:val="00797D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39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6191B-A9D8-438E-9DAA-D0C6CB60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Sandroni</dc:creator>
  <cp:keywords/>
  <dc:description/>
  <cp:lastModifiedBy>Francesca Iachetti</cp:lastModifiedBy>
  <cp:revision>4</cp:revision>
  <cp:lastPrinted>2016-09-13T08:31:00Z</cp:lastPrinted>
  <dcterms:created xsi:type="dcterms:W3CDTF">2019-09-27T10:49:00Z</dcterms:created>
  <dcterms:modified xsi:type="dcterms:W3CDTF">2019-09-27T11:24:00Z</dcterms:modified>
</cp:coreProperties>
</file>