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D5" w:rsidRDefault="00F315D5" w:rsidP="00F31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9B">
        <w:rPr>
          <w:rFonts w:ascii="Times New Roman" w:hAnsi="Times New Roman" w:cs="Times New Roman"/>
          <w:b/>
          <w:sz w:val="28"/>
          <w:szCs w:val="28"/>
        </w:rPr>
        <w:t xml:space="preserve">SINTESI INTERVENTO </w:t>
      </w:r>
    </w:p>
    <w:p w:rsidR="00F315D5" w:rsidRDefault="00F315D5" w:rsidP="00F31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9B">
        <w:rPr>
          <w:rFonts w:ascii="Times New Roman" w:hAnsi="Times New Roman" w:cs="Times New Roman"/>
          <w:b/>
          <w:sz w:val="28"/>
          <w:szCs w:val="28"/>
        </w:rPr>
        <w:t>PROF. GIAMPIERO GIROLOMONI</w:t>
      </w:r>
    </w:p>
    <w:p w:rsidR="00590321" w:rsidRDefault="00590321" w:rsidP="00F31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Malattie infiammatorie croniche della cute </w:t>
      </w:r>
    </w:p>
    <w:p w:rsidR="00590321" w:rsidRPr="0087669B" w:rsidRDefault="00590321" w:rsidP="00F31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psoriasi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 dermatite atopica)</w:t>
      </w:r>
    </w:p>
    <w:p w:rsidR="00F315D5" w:rsidRPr="0087669B" w:rsidRDefault="00F315D5" w:rsidP="00F31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BB5" w:rsidRPr="00590321" w:rsidRDefault="00590321" w:rsidP="00F315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90321">
        <w:rPr>
          <w:rFonts w:ascii="Times New Roman" w:hAnsi="Times New Roman" w:cs="Times New Roman"/>
          <w:sz w:val="24"/>
          <w:szCs w:val="28"/>
        </w:rPr>
        <w:t xml:space="preserve">Le malattie infiammatorie croniche più comuni della cute sono la </w:t>
      </w:r>
      <w:r w:rsidRPr="00655E77">
        <w:rPr>
          <w:rFonts w:ascii="Times New Roman" w:hAnsi="Times New Roman" w:cs="Times New Roman"/>
          <w:b/>
          <w:sz w:val="24"/>
          <w:szCs w:val="28"/>
        </w:rPr>
        <w:t>psoriasi</w:t>
      </w:r>
      <w:r w:rsidRPr="00590321">
        <w:rPr>
          <w:rFonts w:ascii="Times New Roman" w:hAnsi="Times New Roman" w:cs="Times New Roman"/>
          <w:sz w:val="24"/>
          <w:szCs w:val="28"/>
        </w:rPr>
        <w:t xml:space="preserve"> e la </w:t>
      </w:r>
      <w:r w:rsidRPr="00655E77">
        <w:rPr>
          <w:rFonts w:ascii="Times New Roman" w:hAnsi="Times New Roman" w:cs="Times New Roman"/>
          <w:b/>
          <w:sz w:val="24"/>
          <w:szCs w:val="28"/>
        </w:rPr>
        <w:t>dermatite atopica</w:t>
      </w:r>
      <w:r w:rsidRPr="00590321">
        <w:rPr>
          <w:rFonts w:ascii="Times New Roman" w:hAnsi="Times New Roman" w:cs="Times New Roman"/>
          <w:sz w:val="24"/>
          <w:szCs w:val="28"/>
        </w:rPr>
        <w:t xml:space="preserve"> che affliggono globalmente ci</w:t>
      </w:r>
      <w:r>
        <w:rPr>
          <w:rFonts w:ascii="Times New Roman" w:hAnsi="Times New Roman" w:cs="Times New Roman"/>
          <w:sz w:val="24"/>
          <w:szCs w:val="28"/>
        </w:rPr>
        <w:t>r</w:t>
      </w:r>
      <w:r w:rsidRPr="00590321">
        <w:rPr>
          <w:rFonts w:ascii="Times New Roman" w:hAnsi="Times New Roman" w:cs="Times New Roman"/>
          <w:sz w:val="24"/>
          <w:szCs w:val="28"/>
        </w:rPr>
        <w:t xml:space="preserve">ca il 10% della popolazione italiana. </w:t>
      </w:r>
      <w:r>
        <w:rPr>
          <w:rFonts w:ascii="Times New Roman" w:hAnsi="Times New Roman" w:cs="Times New Roman"/>
          <w:sz w:val="24"/>
          <w:szCs w:val="28"/>
        </w:rPr>
        <w:t xml:space="preserve">Sono entrambe malattie di cui si conoscono i geni predisponenti e i meccanismi molecolari che determinano la infiammazione persistente nella cute. Per entrambe le malattie, nella maggior parte dei casi si tratta di forme limitate, ma nel 10-20% dei pazienti si presentano in forma grave che interferisce pesantemente sulla qualità di vita, sulle capacità professionali (o di studio) e sulle relazioni sociali.  </w:t>
      </w:r>
    </w:p>
    <w:p w:rsidR="00A65C60" w:rsidRDefault="00A65C60" w:rsidP="0064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321" w:rsidRDefault="00BB2981" w:rsidP="0064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69B">
        <w:rPr>
          <w:rFonts w:ascii="Times New Roman" w:hAnsi="Times New Roman" w:cs="Times New Roman"/>
          <w:sz w:val="24"/>
          <w:szCs w:val="24"/>
        </w:rPr>
        <w:t xml:space="preserve">La </w:t>
      </w:r>
      <w:r w:rsidRPr="00655E77">
        <w:rPr>
          <w:rFonts w:ascii="Times New Roman" w:hAnsi="Times New Roman" w:cs="Times New Roman"/>
          <w:b/>
          <w:sz w:val="24"/>
          <w:szCs w:val="24"/>
        </w:rPr>
        <w:t>psoriasi</w:t>
      </w:r>
      <w:r w:rsidRPr="0087669B">
        <w:rPr>
          <w:rFonts w:ascii="Times New Roman" w:hAnsi="Times New Roman" w:cs="Times New Roman"/>
          <w:sz w:val="24"/>
          <w:szCs w:val="24"/>
        </w:rPr>
        <w:t xml:space="preserve"> </w:t>
      </w:r>
      <w:r w:rsidR="00590321">
        <w:rPr>
          <w:rFonts w:ascii="Times New Roman" w:hAnsi="Times New Roman" w:cs="Times New Roman"/>
          <w:sz w:val="24"/>
          <w:szCs w:val="24"/>
        </w:rPr>
        <w:t>si presenta sotto forma di placche</w:t>
      </w:r>
      <w:r w:rsidRPr="0087669B">
        <w:rPr>
          <w:rFonts w:ascii="Times New Roman" w:hAnsi="Times New Roman" w:cs="Times New Roman"/>
          <w:sz w:val="24"/>
          <w:szCs w:val="24"/>
        </w:rPr>
        <w:t xml:space="preserve"> rosse, in rilievo, coperte da </w:t>
      </w:r>
      <w:r w:rsidR="00590321">
        <w:rPr>
          <w:rFonts w:ascii="Times New Roman" w:hAnsi="Times New Roman" w:cs="Times New Roman"/>
          <w:sz w:val="24"/>
          <w:szCs w:val="24"/>
        </w:rPr>
        <w:t>squame biancastre ch</w:t>
      </w:r>
      <w:r w:rsidRPr="0087669B">
        <w:rPr>
          <w:rFonts w:ascii="Times New Roman" w:hAnsi="Times New Roman" w:cs="Times New Roman"/>
          <w:sz w:val="24"/>
          <w:szCs w:val="24"/>
        </w:rPr>
        <w:t xml:space="preserve">e sono spesso pruriginose e dolorose, e possono screpolarsi e sanguinare. </w:t>
      </w:r>
      <w:r w:rsidR="00590321">
        <w:rPr>
          <w:rFonts w:ascii="Times New Roman" w:hAnsi="Times New Roman" w:cs="Times New Roman"/>
          <w:sz w:val="24"/>
          <w:szCs w:val="24"/>
        </w:rPr>
        <w:t xml:space="preserve"> Le lesioni</w:t>
      </w:r>
      <w:r w:rsidRPr="0087669B">
        <w:rPr>
          <w:rFonts w:ascii="Times New Roman" w:hAnsi="Times New Roman" w:cs="Times New Roman"/>
          <w:sz w:val="24"/>
          <w:szCs w:val="24"/>
        </w:rPr>
        <w:t xml:space="preserve"> si sviluppano con maggiore frequenza sul cuoio capelluto, sulle ginocchia, sui gomiti e </w:t>
      </w:r>
      <w:r w:rsidR="00590321">
        <w:rPr>
          <w:rFonts w:ascii="Times New Roman" w:hAnsi="Times New Roman" w:cs="Times New Roman"/>
          <w:sz w:val="24"/>
          <w:szCs w:val="24"/>
        </w:rPr>
        <w:t>alle mani, ma nelle forme gravi si estendono a vaste aree della cute</w:t>
      </w:r>
      <w:r w:rsidRPr="0087669B">
        <w:rPr>
          <w:rFonts w:ascii="Times New Roman" w:hAnsi="Times New Roman" w:cs="Times New Roman"/>
          <w:sz w:val="24"/>
          <w:szCs w:val="24"/>
        </w:rPr>
        <w:t xml:space="preserve">. </w:t>
      </w:r>
      <w:r w:rsidR="00A65C60" w:rsidRPr="0087669B">
        <w:rPr>
          <w:rFonts w:ascii="Times New Roman" w:hAnsi="Times New Roman" w:cs="Times New Roman"/>
          <w:sz w:val="24"/>
          <w:szCs w:val="24"/>
        </w:rPr>
        <w:t>In questi casi oltre alle cure topiche si possono considerare anche f</w:t>
      </w:r>
      <w:r w:rsidR="00A65C60">
        <w:rPr>
          <w:rFonts w:ascii="Times New Roman" w:hAnsi="Times New Roman" w:cs="Times New Roman"/>
          <w:sz w:val="24"/>
          <w:szCs w:val="24"/>
        </w:rPr>
        <w:t>armaci orali</w:t>
      </w:r>
      <w:r w:rsidR="00A65C60" w:rsidRPr="0087669B">
        <w:rPr>
          <w:rFonts w:ascii="Times New Roman" w:hAnsi="Times New Roman" w:cs="Times New Roman"/>
          <w:sz w:val="24"/>
          <w:szCs w:val="24"/>
        </w:rPr>
        <w:t>, fototerapia e farmaci biologici.</w:t>
      </w:r>
      <w:r w:rsidR="00A65C60">
        <w:rPr>
          <w:rFonts w:ascii="Times New Roman" w:hAnsi="Times New Roman" w:cs="Times New Roman"/>
          <w:sz w:val="24"/>
          <w:szCs w:val="24"/>
        </w:rPr>
        <w:t xml:space="preserve">  I farmaci inibitori del TNF-</w:t>
      </w:r>
      <w:proofErr w:type="spellStart"/>
      <w:r w:rsidR="00A65C60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="00A65C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5C60" w:rsidRPr="0087669B">
        <w:rPr>
          <w:rFonts w:ascii="Times New Roman" w:hAnsi="Times New Roman" w:cs="Times New Roman"/>
          <w:sz w:val="24"/>
          <w:szCs w:val="24"/>
        </w:rPr>
        <w:t>etanercept</w:t>
      </w:r>
      <w:proofErr w:type="spellEnd"/>
      <w:r w:rsidR="00A65C60" w:rsidRPr="00876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C60" w:rsidRPr="0087669B">
        <w:rPr>
          <w:rFonts w:ascii="Times New Roman" w:hAnsi="Times New Roman" w:cs="Times New Roman"/>
          <w:sz w:val="24"/>
          <w:szCs w:val="24"/>
        </w:rPr>
        <w:t>infliximab</w:t>
      </w:r>
      <w:proofErr w:type="spellEnd"/>
      <w:r w:rsidR="00A65C60" w:rsidRPr="008766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65C60" w:rsidRPr="0087669B">
        <w:rPr>
          <w:rFonts w:ascii="Times New Roman" w:hAnsi="Times New Roman" w:cs="Times New Roman"/>
          <w:sz w:val="24"/>
          <w:szCs w:val="24"/>
        </w:rPr>
        <w:t>adalimumab</w:t>
      </w:r>
      <w:proofErr w:type="spellEnd"/>
      <w:r w:rsidR="00A65C60">
        <w:rPr>
          <w:rFonts w:ascii="Times New Roman" w:hAnsi="Times New Roman" w:cs="Times New Roman"/>
          <w:sz w:val="24"/>
          <w:szCs w:val="24"/>
        </w:rPr>
        <w:t>)</w:t>
      </w:r>
      <w:r w:rsidR="00A65C60" w:rsidRPr="0087669B">
        <w:rPr>
          <w:rFonts w:ascii="Times New Roman" w:hAnsi="Times New Roman" w:cs="Times New Roman"/>
          <w:sz w:val="24"/>
          <w:szCs w:val="24"/>
        </w:rPr>
        <w:t xml:space="preserve"> </w:t>
      </w:r>
      <w:r w:rsidR="00A65C60">
        <w:rPr>
          <w:rFonts w:ascii="Times New Roman" w:hAnsi="Times New Roman" w:cs="Times New Roman"/>
          <w:sz w:val="24"/>
          <w:szCs w:val="24"/>
        </w:rPr>
        <w:t xml:space="preserve">sono stati i primi farmaci biologici ad essere impiegati nella cura della psoriasi oltre 15 anni or sono, e di questi sono disponibili diversi </w:t>
      </w:r>
      <w:proofErr w:type="spellStart"/>
      <w:r w:rsidR="00A65C60">
        <w:rPr>
          <w:rFonts w:ascii="Times New Roman" w:hAnsi="Times New Roman" w:cs="Times New Roman"/>
          <w:sz w:val="24"/>
          <w:szCs w:val="24"/>
        </w:rPr>
        <w:t>biosimilari</w:t>
      </w:r>
      <w:proofErr w:type="spellEnd"/>
      <w:r w:rsidR="00A65C60">
        <w:rPr>
          <w:rFonts w:ascii="Times New Roman" w:hAnsi="Times New Roman" w:cs="Times New Roman"/>
          <w:sz w:val="24"/>
          <w:szCs w:val="24"/>
        </w:rPr>
        <w:t xml:space="preserve"> il cui costo è molto inferiore permettendo quindi il trattamento di un maggior numero di pazienti. </w:t>
      </w:r>
      <w:r w:rsidR="00655E77">
        <w:rPr>
          <w:rFonts w:ascii="Times New Roman" w:hAnsi="Times New Roman" w:cs="Times New Roman"/>
          <w:sz w:val="24"/>
          <w:szCs w:val="24"/>
        </w:rPr>
        <w:br/>
      </w:r>
      <w:r w:rsidR="00A65C60">
        <w:rPr>
          <w:rFonts w:ascii="Times New Roman" w:hAnsi="Times New Roman" w:cs="Times New Roman"/>
          <w:sz w:val="24"/>
          <w:szCs w:val="24"/>
        </w:rPr>
        <w:t>Più recentemente sono stati introdotti gli inibitori della interleuchina 12/23 (</w:t>
      </w:r>
      <w:proofErr w:type="spellStart"/>
      <w:r w:rsidR="00A65C60">
        <w:rPr>
          <w:rFonts w:ascii="Times New Roman" w:hAnsi="Times New Roman" w:cs="Times New Roman"/>
          <w:sz w:val="24"/>
          <w:szCs w:val="24"/>
        </w:rPr>
        <w:t>ustekinumab</w:t>
      </w:r>
      <w:proofErr w:type="spellEnd"/>
      <w:r w:rsidR="00A65C60">
        <w:rPr>
          <w:rFonts w:ascii="Times New Roman" w:hAnsi="Times New Roman" w:cs="Times New Roman"/>
          <w:sz w:val="24"/>
          <w:szCs w:val="24"/>
        </w:rPr>
        <w:t>) e gli inibitori della interleuchina 17 (</w:t>
      </w:r>
      <w:proofErr w:type="spellStart"/>
      <w:r w:rsidR="00A65C60">
        <w:rPr>
          <w:rFonts w:ascii="Times New Roman" w:hAnsi="Times New Roman" w:cs="Times New Roman"/>
          <w:sz w:val="24"/>
          <w:szCs w:val="24"/>
        </w:rPr>
        <w:t>secukinumab</w:t>
      </w:r>
      <w:proofErr w:type="spellEnd"/>
      <w:r w:rsidR="00A65C6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65C60">
        <w:rPr>
          <w:rFonts w:ascii="Times New Roman" w:hAnsi="Times New Roman" w:cs="Times New Roman"/>
          <w:sz w:val="24"/>
          <w:szCs w:val="24"/>
        </w:rPr>
        <w:t>ixekizumab</w:t>
      </w:r>
      <w:proofErr w:type="spellEnd"/>
      <w:r w:rsidR="00A65C60">
        <w:rPr>
          <w:rFonts w:ascii="Times New Roman" w:hAnsi="Times New Roman" w:cs="Times New Roman"/>
          <w:sz w:val="24"/>
          <w:szCs w:val="24"/>
        </w:rPr>
        <w:t>). Questi ultimi offrono una efficacia elevatissima che permette di raggiungere obiettivi di cura un tempo impensabili. Infatti oggi è possibile ottenere,</w:t>
      </w:r>
      <w:r w:rsidR="00A65C60" w:rsidRPr="00A65C60">
        <w:rPr>
          <w:rFonts w:ascii="Times New Roman" w:hAnsi="Times New Roman" w:cs="Times New Roman"/>
          <w:sz w:val="24"/>
          <w:szCs w:val="24"/>
        </w:rPr>
        <w:t xml:space="preserve"> </w:t>
      </w:r>
      <w:r w:rsidR="00A65C60">
        <w:rPr>
          <w:rFonts w:ascii="Times New Roman" w:hAnsi="Times New Roman" w:cs="Times New Roman"/>
          <w:sz w:val="24"/>
          <w:szCs w:val="24"/>
        </w:rPr>
        <w:t xml:space="preserve">anche </w:t>
      </w:r>
      <w:r w:rsidR="00655E77">
        <w:rPr>
          <w:rFonts w:ascii="Times New Roman" w:hAnsi="Times New Roman" w:cs="Times New Roman"/>
          <w:sz w:val="24"/>
          <w:szCs w:val="24"/>
        </w:rPr>
        <w:t>n</w:t>
      </w:r>
      <w:r w:rsidR="00A65C60">
        <w:rPr>
          <w:rFonts w:ascii="Times New Roman" w:hAnsi="Times New Roman" w:cs="Times New Roman"/>
          <w:sz w:val="24"/>
          <w:szCs w:val="24"/>
        </w:rPr>
        <w:t>elle forme più gravi di psoriasi, una regressione superior</w:t>
      </w:r>
      <w:r w:rsidR="00655E77">
        <w:rPr>
          <w:rFonts w:ascii="Times New Roman" w:hAnsi="Times New Roman" w:cs="Times New Roman"/>
          <w:sz w:val="24"/>
          <w:szCs w:val="24"/>
        </w:rPr>
        <w:t>e</w:t>
      </w:r>
      <w:r w:rsidR="00A65C60">
        <w:rPr>
          <w:rFonts w:ascii="Times New Roman" w:hAnsi="Times New Roman" w:cs="Times New Roman"/>
          <w:sz w:val="24"/>
          <w:szCs w:val="24"/>
        </w:rPr>
        <w:t xml:space="preserve"> al 90% in poche settimane. </w:t>
      </w:r>
      <w:r w:rsidR="00543F69" w:rsidRPr="00876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F69" w:rsidRPr="0087669B">
        <w:rPr>
          <w:rFonts w:ascii="Times New Roman" w:hAnsi="Times New Roman" w:cs="Times New Roman"/>
          <w:sz w:val="24"/>
          <w:szCs w:val="24"/>
        </w:rPr>
        <w:t>Secukimumab</w:t>
      </w:r>
      <w:proofErr w:type="spellEnd"/>
      <w:r w:rsidR="00543F69" w:rsidRPr="0087669B">
        <w:rPr>
          <w:rFonts w:ascii="Times New Roman" w:hAnsi="Times New Roman" w:cs="Times New Roman"/>
          <w:sz w:val="24"/>
          <w:szCs w:val="24"/>
        </w:rPr>
        <w:t xml:space="preserve"> ha dimostrato</w:t>
      </w:r>
      <w:r w:rsidR="00655E77">
        <w:rPr>
          <w:rFonts w:ascii="Times New Roman" w:hAnsi="Times New Roman" w:cs="Times New Roman"/>
          <w:sz w:val="24"/>
          <w:szCs w:val="24"/>
        </w:rPr>
        <w:t>,</w:t>
      </w:r>
      <w:r w:rsidR="00543F69" w:rsidRPr="0087669B">
        <w:rPr>
          <w:rFonts w:ascii="Times New Roman" w:hAnsi="Times New Roman" w:cs="Times New Roman"/>
          <w:sz w:val="24"/>
          <w:szCs w:val="24"/>
        </w:rPr>
        <w:t xml:space="preserve"> in studi controllati</w:t>
      </w:r>
      <w:r w:rsidR="00655E77">
        <w:rPr>
          <w:rFonts w:ascii="Times New Roman" w:hAnsi="Times New Roman" w:cs="Times New Roman"/>
          <w:sz w:val="24"/>
          <w:szCs w:val="24"/>
        </w:rPr>
        <w:t>,</w:t>
      </w:r>
      <w:r w:rsidR="00543F69" w:rsidRPr="0087669B">
        <w:rPr>
          <w:rFonts w:ascii="Times New Roman" w:hAnsi="Times New Roman" w:cs="Times New Roman"/>
          <w:sz w:val="24"/>
          <w:szCs w:val="24"/>
        </w:rPr>
        <w:t xml:space="preserve"> di essere più efficace </w:t>
      </w:r>
      <w:r w:rsidR="00543F6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543F69">
        <w:rPr>
          <w:rFonts w:ascii="Times New Roman" w:hAnsi="Times New Roman" w:cs="Times New Roman"/>
          <w:sz w:val="24"/>
          <w:szCs w:val="24"/>
        </w:rPr>
        <w:t>ustekinumab</w:t>
      </w:r>
      <w:proofErr w:type="spellEnd"/>
      <w:r w:rsidR="00543F6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43F69">
        <w:rPr>
          <w:rFonts w:ascii="Times New Roman" w:hAnsi="Times New Roman" w:cs="Times New Roman"/>
          <w:sz w:val="24"/>
          <w:szCs w:val="24"/>
        </w:rPr>
        <w:t>etanercept</w:t>
      </w:r>
      <w:proofErr w:type="spellEnd"/>
      <w:r w:rsidR="00543F69">
        <w:rPr>
          <w:rFonts w:ascii="Times New Roman" w:hAnsi="Times New Roman" w:cs="Times New Roman"/>
          <w:sz w:val="24"/>
          <w:szCs w:val="24"/>
        </w:rPr>
        <w:t xml:space="preserve"> </w:t>
      </w:r>
      <w:r w:rsidR="00543F69" w:rsidRPr="0087669B">
        <w:rPr>
          <w:rFonts w:ascii="Times New Roman" w:hAnsi="Times New Roman" w:cs="Times New Roman"/>
          <w:sz w:val="24"/>
          <w:szCs w:val="24"/>
        </w:rPr>
        <w:t xml:space="preserve">con la maggior parte dei pazienti che ha una risoluzione pressoché totale della malattia. </w:t>
      </w:r>
      <w:r w:rsidR="00655E77">
        <w:rPr>
          <w:rFonts w:ascii="Times New Roman" w:hAnsi="Times New Roman" w:cs="Times New Roman"/>
          <w:sz w:val="24"/>
          <w:szCs w:val="24"/>
        </w:rPr>
        <w:br/>
      </w:r>
      <w:r w:rsidR="00543F69" w:rsidRPr="0087669B">
        <w:rPr>
          <w:rFonts w:ascii="Times New Roman" w:hAnsi="Times New Roman" w:cs="Times New Roman"/>
          <w:sz w:val="24"/>
          <w:szCs w:val="24"/>
        </w:rPr>
        <w:t>Tutti i farmaci biologici</w:t>
      </w:r>
      <w:r w:rsidR="00543F69">
        <w:rPr>
          <w:rFonts w:ascii="Times New Roman" w:hAnsi="Times New Roman" w:cs="Times New Roman"/>
          <w:sz w:val="24"/>
          <w:szCs w:val="24"/>
        </w:rPr>
        <w:t xml:space="preserve">, soprattutto gli inibitori della interleuchina17, </w:t>
      </w:r>
      <w:r w:rsidR="00543F69" w:rsidRPr="0087669B">
        <w:rPr>
          <w:rFonts w:ascii="Times New Roman" w:hAnsi="Times New Roman" w:cs="Times New Roman"/>
          <w:sz w:val="24"/>
          <w:szCs w:val="24"/>
        </w:rPr>
        <w:t xml:space="preserve"> hanno un ottimo profilo di sicurezza</w:t>
      </w:r>
      <w:r w:rsidR="00655E77">
        <w:rPr>
          <w:rFonts w:ascii="Times New Roman" w:hAnsi="Times New Roman" w:cs="Times New Roman"/>
          <w:sz w:val="24"/>
          <w:szCs w:val="24"/>
        </w:rPr>
        <w:t>,</w:t>
      </w:r>
      <w:r w:rsidR="00543F69" w:rsidRPr="0087669B">
        <w:rPr>
          <w:rFonts w:ascii="Times New Roman" w:hAnsi="Times New Roman" w:cs="Times New Roman"/>
          <w:sz w:val="24"/>
          <w:szCs w:val="24"/>
        </w:rPr>
        <w:t xml:space="preserve"> come dimostrato dai dati di registri che raccolgono i dati di decine di migliaia di pazienti. </w:t>
      </w:r>
      <w:r w:rsidR="00543F69">
        <w:rPr>
          <w:rFonts w:ascii="Times New Roman" w:hAnsi="Times New Roman" w:cs="Times New Roman"/>
          <w:sz w:val="24"/>
          <w:szCs w:val="24"/>
        </w:rPr>
        <w:t>I</w:t>
      </w:r>
      <w:r w:rsidR="00543F69" w:rsidRPr="0087669B">
        <w:rPr>
          <w:rFonts w:ascii="Times New Roman" w:hAnsi="Times New Roman" w:cs="Times New Roman"/>
          <w:sz w:val="24"/>
          <w:szCs w:val="24"/>
        </w:rPr>
        <w:t xml:space="preserve"> possibili effetti collaterali sono</w:t>
      </w:r>
      <w:r w:rsidR="00543F69">
        <w:rPr>
          <w:rFonts w:ascii="Times New Roman" w:hAnsi="Times New Roman" w:cs="Times New Roman"/>
          <w:sz w:val="24"/>
          <w:szCs w:val="24"/>
        </w:rPr>
        <w:t xml:space="preserve"> molto</w:t>
      </w:r>
      <w:r w:rsidR="00543F69" w:rsidRPr="0087669B">
        <w:rPr>
          <w:rFonts w:ascii="Times New Roman" w:hAnsi="Times New Roman" w:cs="Times New Roman"/>
          <w:sz w:val="24"/>
          <w:szCs w:val="24"/>
        </w:rPr>
        <w:t xml:space="preserve"> rari e prevedibili. Tuttavia </w:t>
      </w:r>
      <w:r w:rsidR="00543F69">
        <w:rPr>
          <w:rFonts w:ascii="Times New Roman" w:hAnsi="Times New Roman" w:cs="Times New Roman"/>
          <w:sz w:val="24"/>
          <w:szCs w:val="24"/>
        </w:rPr>
        <w:t xml:space="preserve">questi </w:t>
      </w:r>
      <w:r w:rsidR="00543F69" w:rsidRPr="0087669B">
        <w:rPr>
          <w:rFonts w:ascii="Times New Roman" w:hAnsi="Times New Roman" w:cs="Times New Roman"/>
          <w:sz w:val="24"/>
          <w:szCs w:val="24"/>
        </w:rPr>
        <w:t xml:space="preserve">hanno un costo elevato e per questo si usano quando le terapie tradizionali, che sono in genere economiche, non sono </w:t>
      </w:r>
      <w:proofErr w:type="gramStart"/>
      <w:r w:rsidR="00543F69" w:rsidRPr="0087669B">
        <w:rPr>
          <w:rFonts w:ascii="Times New Roman" w:hAnsi="Times New Roman" w:cs="Times New Roman"/>
          <w:sz w:val="24"/>
          <w:szCs w:val="24"/>
        </w:rPr>
        <w:t>impiegabili</w:t>
      </w:r>
      <w:proofErr w:type="gramEnd"/>
      <w:r w:rsidR="00543F69" w:rsidRPr="0087669B">
        <w:rPr>
          <w:rFonts w:ascii="Times New Roman" w:hAnsi="Times New Roman" w:cs="Times New Roman"/>
          <w:sz w:val="24"/>
          <w:szCs w:val="24"/>
        </w:rPr>
        <w:t>.</w:t>
      </w:r>
      <w:r w:rsidR="00543F69">
        <w:rPr>
          <w:rFonts w:ascii="Times New Roman" w:hAnsi="Times New Roman" w:cs="Times New Roman"/>
          <w:sz w:val="24"/>
          <w:szCs w:val="24"/>
        </w:rPr>
        <w:t xml:space="preserve"> In particolare possono essere impiegati in pazienti con psoriasi moderata-grave c</w:t>
      </w:r>
      <w:r w:rsidR="00543F69" w:rsidRPr="0087669B">
        <w:rPr>
          <w:rFonts w:ascii="Times New Roman" w:hAnsi="Times New Roman" w:cs="Times New Roman"/>
          <w:sz w:val="24"/>
          <w:szCs w:val="24"/>
        </w:rPr>
        <w:t xml:space="preserve">he non abbiano risposto o siano risultati intolleranti o per i quali siano controindicati trattamenti sistemici tradizionali (ciclosporina, </w:t>
      </w:r>
      <w:proofErr w:type="spellStart"/>
      <w:r w:rsidR="00543F69" w:rsidRPr="0087669B">
        <w:rPr>
          <w:rFonts w:ascii="Times New Roman" w:hAnsi="Times New Roman" w:cs="Times New Roman"/>
          <w:sz w:val="24"/>
          <w:szCs w:val="24"/>
        </w:rPr>
        <w:t>methotrexate</w:t>
      </w:r>
      <w:proofErr w:type="spellEnd"/>
      <w:r w:rsidR="00543F69" w:rsidRPr="0087669B">
        <w:rPr>
          <w:rFonts w:ascii="Times New Roman" w:hAnsi="Times New Roman" w:cs="Times New Roman"/>
          <w:sz w:val="24"/>
          <w:szCs w:val="24"/>
        </w:rPr>
        <w:t xml:space="preserve"> o terapia PUVA). </w:t>
      </w:r>
      <w:r w:rsidR="00655E77">
        <w:rPr>
          <w:rFonts w:ascii="Times New Roman" w:hAnsi="Times New Roman" w:cs="Times New Roman"/>
          <w:sz w:val="24"/>
          <w:szCs w:val="24"/>
        </w:rPr>
        <w:br/>
      </w:r>
      <w:r w:rsidR="00543F69">
        <w:rPr>
          <w:rFonts w:ascii="Times New Roman" w:hAnsi="Times New Roman" w:cs="Times New Roman"/>
          <w:sz w:val="24"/>
          <w:szCs w:val="24"/>
        </w:rPr>
        <w:t xml:space="preserve">Il costo dei farmaci biologici </w:t>
      </w:r>
      <w:proofErr w:type="spellStart"/>
      <w:r w:rsidR="00543F69">
        <w:rPr>
          <w:rFonts w:ascii="Times New Roman" w:hAnsi="Times New Roman" w:cs="Times New Roman"/>
          <w:sz w:val="24"/>
          <w:szCs w:val="24"/>
        </w:rPr>
        <w:t>biosimilari</w:t>
      </w:r>
      <w:proofErr w:type="spellEnd"/>
      <w:r w:rsidR="00543F69">
        <w:rPr>
          <w:rFonts w:ascii="Times New Roman" w:hAnsi="Times New Roman" w:cs="Times New Roman"/>
          <w:sz w:val="24"/>
          <w:szCs w:val="24"/>
        </w:rPr>
        <w:t xml:space="preserve"> tuttavia si sta rapidamente avvicinando a quello dei farmaci tradizionali. </w:t>
      </w:r>
      <w:r w:rsidR="00543F69" w:rsidRPr="0087669B">
        <w:rPr>
          <w:rFonts w:ascii="Times New Roman" w:hAnsi="Times New Roman" w:cs="Times New Roman"/>
          <w:sz w:val="24"/>
          <w:szCs w:val="24"/>
        </w:rPr>
        <w:t xml:space="preserve"> </w:t>
      </w:r>
      <w:r w:rsidR="00655E77">
        <w:rPr>
          <w:rFonts w:ascii="Times New Roman" w:hAnsi="Times New Roman" w:cs="Times New Roman"/>
          <w:sz w:val="24"/>
          <w:szCs w:val="24"/>
        </w:rPr>
        <w:br/>
      </w:r>
      <w:r w:rsidR="00543F69" w:rsidRPr="0087669B">
        <w:rPr>
          <w:rFonts w:ascii="Times New Roman" w:hAnsi="Times New Roman" w:cs="Times New Roman"/>
          <w:sz w:val="24"/>
          <w:szCs w:val="24"/>
        </w:rPr>
        <w:t xml:space="preserve">Nei bambini la psoriasi grave è </w:t>
      </w:r>
      <w:r w:rsidR="00543F69">
        <w:rPr>
          <w:rFonts w:ascii="Times New Roman" w:hAnsi="Times New Roman" w:cs="Times New Roman"/>
          <w:sz w:val="24"/>
          <w:szCs w:val="24"/>
        </w:rPr>
        <w:t>rara</w:t>
      </w:r>
      <w:r w:rsidR="00543F69" w:rsidRPr="0087669B">
        <w:rPr>
          <w:rFonts w:ascii="Times New Roman" w:hAnsi="Times New Roman" w:cs="Times New Roman"/>
          <w:sz w:val="24"/>
          <w:szCs w:val="24"/>
        </w:rPr>
        <w:t xml:space="preserve">. </w:t>
      </w:r>
      <w:r w:rsidR="00543F69">
        <w:rPr>
          <w:rFonts w:ascii="Times New Roman" w:hAnsi="Times New Roman" w:cs="Times New Roman"/>
          <w:sz w:val="24"/>
          <w:szCs w:val="24"/>
        </w:rPr>
        <w:t>I farmaci</w:t>
      </w:r>
      <w:r w:rsidR="00543F69" w:rsidRPr="0087669B">
        <w:rPr>
          <w:rFonts w:ascii="Times New Roman" w:hAnsi="Times New Roman" w:cs="Times New Roman"/>
          <w:sz w:val="24"/>
          <w:szCs w:val="24"/>
        </w:rPr>
        <w:t xml:space="preserve"> biologici per </w:t>
      </w:r>
      <w:r w:rsidR="00543F69">
        <w:rPr>
          <w:rFonts w:ascii="Times New Roman" w:hAnsi="Times New Roman" w:cs="Times New Roman"/>
          <w:sz w:val="24"/>
          <w:szCs w:val="24"/>
        </w:rPr>
        <w:t xml:space="preserve">ora approvati sono </w:t>
      </w:r>
      <w:proofErr w:type="spellStart"/>
      <w:r w:rsidR="00543F69">
        <w:rPr>
          <w:rFonts w:ascii="Times New Roman" w:hAnsi="Times New Roman" w:cs="Times New Roman"/>
          <w:sz w:val="24"/>
          <w:szCs w:val="24"/>
        </w:rPr>
        <w:t>etanercept</w:t>
      </w:r>
      <w:proofErr w:type="spellEnd"/>
      <w:r w:rsidR="00543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3F69" w:rsidRPr="0087669B">
        <w:rPr>
          <w:rFonts w:ascii="Times New Roman" w:hAnsi="Times New Roman" w:cs="Times New Roman"/>
          <w:sz w:val="24"/>
          <w:szCs w:val="24"/>
        </w:rPr>
        <w:lastRenderedPageBreak/>
        <w:t>adalimumab</w:t>
      </w:r>
      <w:proofErr w:type="spellEnd"/>
      <w:r w:rsidR="00543F69" w:rsidRPr="0087669B">
        <w:rPr>
          <w:rFonts w:ascii="Times New Roman" w:hAnsi="Times New Roman" w:cs="Times New Roman"/>
          <w:sz w:val="24"/>
          <w:szCs w:val="24"/>
        </w:rPr>
        <w:t>,</w:t>
      </w:r>
      <w:r w:rsidR="00543F69">
        <w:rPr>
          <w:rFonts w:ascii="Times New Roman" w:hAnsi="Times New Roman" w:cs="Times New Roman"/>
          <w:sz w:val="24"/>
          <w:szCs w:val="24"/>
        </w:rPr>
        <w:t xml:space="preserve"> e negli adolescenti </w:t>
      </w:r>
      <w:proofErr w:type="spellStart"/>
      <w:r w:rsidR="00543F69">
        <w:rPr>
          <w:rFonts w:ascii="Times New Roman" w:hAnsi="Times New Roman" w:cs="Times New Roman"/>
          <w:sz w:val="24"/>
          <w:szCs w:val="24"/>
        </w:rPr>
        <w:t>ustekinumab</w:t>
      </w:r>
      <w:proofErr w:type="spellEnd"/>
      <w:r w:rsidR="00543F69" w:rsidRPr="0087669B">
        <w:rPr>
          <w:rFonts w:ascii="Times New Roman" w:hAnsi="Times New Roman" w:cs="Times New Roman"/>
          <w:sz w:val="24"/>
          <w:szCs w:val="24"/>
        </w:rPr>
        <w:t>.</w:t>
      </w:r>
      <w:r w:rsidR="00543F69" w:rsidRPr="0087669B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A65C60" w:rsidRDefault="00A65C60" w:rsidP="0064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321" w:rsidRDefault="00590321" w:rsidP="0064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655E77">
        <w:rPr>
          <w:rFonts w:ascii="Times New Roman" w:hAnsi="Times New Roman" w:cs="Times New Roman"/>
          <w:b/>
          <w:sz w:val="24"/>
          <w:szCs w:val="24"/>
        </w:rPr>
        <w:t>dermatite atopica</w:t>
      </w:r>
      <w:r>
        <w:rPr>
          <w:rFonts w:ascii="Times New Roman" w:hAnsi="Times New Roman" w:cs="Times New Roman"/>
          <w:sz w:val="24"/>
          <w:szCs w:val="24"/>
        </w:rPr>
        <w:t xml:space="preserve"> si manifesta con lesioni arrossate e umide estremamente pruriginose al viso, al collo, </w:t>
      </w:r>
      <w:r w:rsidR="00655E77">
        <w:rPr>
          <w:rFonts w:ascii="Times New Roman" w:hAnsi="Times New Roman" w:cs="Times New Roman"/>
          <w:sz w:val="24"/>
          <w:szCs w:val="24"/>
        </w:rPr>
        <w:t xml:space="preserve">alla </w:t>
      </w:r>
      <w:r>
        <w:rPr>
          <w:rFonts w:ascii="Times New Roman" w:hAnsi="Times New Roman" w:cs="Times New Roman"/>
          <w:sz w:val="24"/>
          <w:szCs w:val="24"/>
        </w:rPr>
        <w:t>parte alta del tronco</w:t>
      </w:r>
      <w:r w:rsidR="00A65C60">
        <w:rPr>
          <w:rFonts w:ascii="Times New Roman" w:hAnsi="Times New Roman" w:cs="Times New Roman"/>
          <w:sz w:val="24"/>
          <w:szCs w:val="24"/>
        </w:rPr>
        <w:t xml:space="preserve">, alle mani </w:t>
      </w:r>
      <w:r>
        <w:rPr>
          <w:rFonts w:ascii="Times New Roman" w:hAnsi="Times New Roman" w:cs="Times New Roman"/>
          <w:sz w:val="24"/>
          <w:szCs w:val="24"/>
        </w:rPr>
        <w:t xml:space="preserve">e alle pieghe. </w:t>
      </w:r>
      <w:r w:rsidRPr="00A65C60">
        <w:rPr>
          <w:rFonts w:ascii="Times New Roman" w:hAnsi="Times New Roman" w:cs="Times New Roman"/>
          <w:sz w:val="24"/>
          <w:szCs w:val="28"/>
        </w:rPr>
        <w:t>Quando le lesioni cronicizzano diventano secche e desquamanti.</w:t>
      </w:r>
      <w:r w:rsidR="00A65C60" w:rsidRPr="00A65C60">
        <w:rPr>
          <w:rFonts w:ascii="Times New Roman" w:hAnsi="Times New Roman" w:cs="Times New Roman"/>
          <w:sz w:val="24"/>
          <w:szCs w:val="28"/>
        </w:rPr>
        <w:t xml:space="preserve"> Le forme moderate-gravi sono estremamente invalidanti per il prurito fortissimo e incessante che ostacola il lavoro, il sonno </w:t>
      </w:r>
      <w:r w:rsidR="00A65C60">
        <w:rPr>
          <w:rFonts w:ascii="Times New Roman" w:hAnsi="Times New Roman" w:cs="Times New Roman"/>
          <w:sz w:val="24"/>
          <w:szCs w:val="28"/>
        </w:rPr>
        <w:t>e la capacità di concentrazione, e l’aspetto sofferente dei pazienti</w:t>
      </w:r>
      <w:r w:rsidR="00A65C60" w:rsidRPr="00A65C60">
        <w:rPr>
          <w:rFonts w:ascii="Times New Roman" w:hAnsi="Times New Roman" w:cs="Times New Roman"/>
          <w:sz w:val="24"/>
          <w:szCs w:val="28"/>
        </w:rPr>
        <w:t xml:space="preserve">. </w:t>
      </w:r>
      <w:r w:rsidR="00655E77">
        <w:rPr>
          <w:rFonts w:ascii="Times New Roman" w:hAnsi="Times New Roman" w:cs="Times New Roman"/>
          <w:sz w:val="24"/>
          <w:szCs w:val="28"/>
        </w:rPr>
        <w:br/>
      </w:r>
      <w:r w:rsidR="00A65C60" w:rsidRPr="00A65C60">
        <w:rPr>
          <w:rFonts w:ascii="Times New Roman" w:hAnsi="Times New Roman" w:cs="Times New Roman"/>
          <w:sz w:val="24"/>
          <w:szCs w:val="28"/>
        </w:rPr>
        <w:t xml:space="preserve">La buona notizia è che per le forme gravi di </w:t>
      </w:r>
      <w:r w:rsidR="00A65C60">
        <w:rPr>
          <w:rFonts w:ascii="Times New Roman" w:hAnsi="Times New Roman" w:cs="Times New Roman"/>
          <w:sz w:val="24"/>
          <w:szCs w:val="28"/>
        </w:rPr>
        <w:t xml:space="preserve">dermatite atopica esiste una </w:t>
      </w:r>
      <w:r w:rsidR="00A65C60" w:rsidRPr="00A65C60">
        <w:rPr>
          <w:rFonts w:ascii="Times New Roman" w:hAnsi="Times New Roman" w:cs="Times New Roman"/>
          <w:sz w:val="24"/>
          <w:szCs w:val="28"/>
        </w:rPr>
        <w:t xml:space="preserve">nuova opportunità di cura efficace e sicura. Infatti fino ad ora si curava con cortisonici e farmaci immunosoppressori come ciclosporina, </w:t>
      </w:r>
      <w:proofErr w:type="spellStart"/>
      <w:r w:rsidR="00A65C60" w:rsidRPr="00A65C60">
        <w:rPr>
          <w:rFonts w:ascii="Times New Roman" w:hAnsi="Times New Roman" w:cs="Times New Roman"/>
          <w:sz w:val="24"/>
          <w:szCs w:val="28"/>
        </w:rPr>
        <w:t>azatioprina</w:t>
      </w:r>
      <w:proofErr w:type="spellEnd"/>
      <w:r w:rsidR="00A65C60" w:rsidRPr="00A65C60">
        <w:rPr>
          <w:rFonts w:ascii="Times New Roman" w:hAnsi="Times New Roman" w:cs="Times New Roman"/>
          <w:sz w:val="24"/>
          <w:szCs w:val="28"/>
        </w:rPr>
        <w:t xml:space="preserve"> e </w:t>
      </w:r>
      <w:proofErr w:type="spellStart"/>
      <w:r w:rsidR="00A65C60" w:rsidRPr="00A65C60">
        <w:rPr>
          <w:rFonts w:ascii="Times New Roman" w:hAnsi="Times New Roman" w:cs="Times New Roman"/>
          <w:sz w:val="24"/>
          <w:szCs w:val="28"/>
        </w:rPr>
        <w:t>metotrexate</w:t>
      </w:r>
      <w:proofErr w:type="spellEnd"/>
      <w:r w:rsidR="00A65C60" w:rsidRPr="00A65C60">
        <w:rPr>
          <w:rFonts w:ascii="Times New Roman" w:hAnsi="Times New Roman" w:cs="Times New Roman"/>
          <w:sz w:val="24"/>
          <w:szCs w:val="28"/>
        </w:rPr>
        <w:t xml:space="preserve"> che hanno diverse controindicazioni e sono spesso poco tollerati. Ma ora esiste una nuova importante terapia già disponibile, il </w:t>
      </w:r>
      <w:proofErr w:type="spellStart"/>
      <w:r w:rsidR="00A65C60" w:rsidRPr="00A65C60">
        <w:rPr>
          <w:rFonts w:ascii="Times New Roman" w:hAnsi="Times New Roman" w:cs="Times New Roman"/>
          <w:sz w:val="24"/>
          <w:szCs w:val="28"/>
        </w:rPr>
        <w:t>dupilumab</w:t>
      </w:r>
      <w:proofErr w:type="spellEnd"/>
      <w:r w:rsidR="00A65C60" w:rsidRPr="00A65C60">
        <w:rPr>
          <w:rFonts w:ascii="Times New Roman" w:hAnsi="Times New Roman" w:cs="Times New Roman"/>
          <w:sz w:val="24"/>
          <w:szCs w:val="28"/>
        </w:rPr>
        <w:t xml:space="preserve"> è un farmaco molto efficace e sicuro come dimostrato in ampi studi controllati, sia sulle lesioni cutanee che sul prurito.</w:t>
      </w:r>
      <w:r w:rsidR="00543F69">
        <w:rPr>
          <w:rFonts w:ascii="Times New Roman" w:hAnsi="Times New Roman" w:cs="Times New Roman"/>
          <w:sz w:val="24"/>
          <w:szCs w:val="28"/>
        </w:rPr>
        <w:t xml:space="preserve"> </w:t>
      </w:r>
      <w:r w:rsidR="00543F69" w:rsidRPr="00A65C60">
        <w:rPr>
          <w:rFonts w:ascii="Times New Roman" w:hAnsi="Times New Roman" w:cs="Times New Roman"/>
          <w:sz w:val="24"/>
          <w:szCs w:val="28"/>
        </w:rPr>
        <w:t>Agendo specificamente sul recettore della IL-4 e IL-13 non ha un effetto immunosoppressivo</w:t>
      </w:r>
      <w:r w:rsidR="00543F69">
        <w:rPr>
          <w:rFonts w:ascii="Times New Roman" w:hAnsi="Times New Roman" w:cs="Times New Roman"/>
          <w:sz w:val="24"/>
          <w:szCs w:val="28"/>
        </w:rPr>
        <w:t>.</w:t>
      </w:r>
      <w:r w:rsidR="00543F69" w:rsidRPr="00A65C60">
        <w:rPr>
          <w:rFonts w:ascii="Times New Roman" w:hAnsi="Times New Roman" w:cs="Times New Roman"/>
          <w:sz w:val="24"/>
          <w:szCs w:val="28"/>
        </w:rPr>
        <w:t xml:space="preserve"> </w:t>
      </w:r>
      <w:r w:rsidR="00543F6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43F69">
        <w:rPr>
          <w:rFonts w:ascii="Times New Roman" w:hAnsi="Times New Roman" w:cs="Times New Roman"/>
          <w:sz w:val="24"/>
          <w:szCs w:val="28"/>
        </w:rPr>
        <w:t>Dupilumab</w:t>
      </w:r>
      <w:proofErr w:type="spellEnd"/>
      <w:r w:rsidR="00543F69">
        <w:rPr>
          <w:rFonts w:ascii="Times New Roman" w:hAnsi="Times New Roman" w:cs="Times New Roman"/>
          <w:sz w:val="24"/>
          <w:szCs w:val="28"/>
        </w:rPr>
        <w:t xml:space="preserve"> è molto sicuro tanto che non è previsto che si controllino gli </w:t>
      </w:r>
      <w:proofErr w:type="spellStart"/>
      <w:r w:rsidR="00543F69">
        <w:rPr>
          <w:rFonts w:ascii="Times New Roman" w:hAnsi="Times New Roman" w:cs="Times New Roman"/>
          <w:sz w:val="24"/>
          <w:szCs w:val="28"/>
        </w:rPr>
        <w:t>esmai</w:t>
      </w:r>
      <w:proofErr w:type="spellEnd"/>
      <w:r w:rsidR="00543F69">
        <w:rPr>
          <w:rFonts w:ascii="Times New Roman" w:hAnsi="Times New Roman" w:cs="Times New Roman"/>
          <w:sz w:val="24"/>
          <w:szCs w:val="28"/>
        </w:rPr>
        <w:t xml:space="preserve"> del sangue durante il trattamento. </w:t>
      </w:r>
      <w:r w:rsidR="00A65C60">
        <w:rPr>
          <w:rFonts w:ascii="Times New Roman" w:hAnsi="Times New Roman" w:cs="Times New Roman"/>
          <w:sz w:val="24"/>
          <w:szCs w:val="28"/>
        </w:rPr>
        <w:t xml:space="preserve"> </w:t>
      </w:r>
      <w:r w:rsidR="00A65C60" w:rsidRPr="00A65C60">
        <w:rPr>
          <w:rFonts w:ascii="Times New Roman" w:hAnsi="Times New Roman" w:cs="Times New Roman"/>
          <w:sz w:val="24"/>
          <w:szCs w:val="28"/>
        </w:rPr>
        <w:t>Il farmaco è in classe H, ciò significa che è dispensabile solo a livello ospedaliero, anche se poi viene somministrato a domicilio con iniezioni sottocutanee quindicina</w:t>
      </w:r>
      <w:r w:rsidR="00A65C60">
        <w:rPr>
          <w:rFonts w:ascii="Times New Roman" w:hAnsi="Times New Roman" w:cs="Times New Roman"/>
          <w:sz w:val="24"/>
          <w:szCs w:val="28"/>
        </w:rPr>
        <w:t xml:space="preserve">li. E’ indicato nei pazienti con </w:t>
      </w:r>
      <w:bookmarkStart w:id="0" w:name="_GoBack"/>
      <w:bookmarkEnd w:id="0"/>
      <w:r w:rsidR="00A65C60" w:rsidRPr="00A65C60">
        <w:rPr>
          <w:rFonts w:ascii="Times New Roman" w:hAnsi="Times New Roman" w:cs="Times New Roman"/>
          <w:sz w:val="24"/>
          <w:szCs w:val="28"/>
        </w:rPr>
        <w:t>dermatite atopica grave in cui sia inappropriato l’impiego della ciclosporina. E’ in corso l’approvazione da parte della agenzia europea del farmaco (EMA il suo impiego anche negli adolescenti</w:t>
      </w:r>
    </w:p>
    <w:p w:rsidR="00543F69" w:rsidRDefault="00543F69" w:rsidP="00641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6F32" w:rsidRDefault="00543F69" w:rsidP="00641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pazienti con psoriasi o dermatite grave sono molto sofferenti. </w:t>
      </w:r>
      <w:r w:rsidR="00641D66" w:rsidRPr="0087669B">
        <w:rPr>
          <w:rFonts w:ascii="Times New Roman" w:hAnsi="Times New Roman" w:cs="Times New Roman"/>
          <w:sz w:val="24"/>
          <w:szCs w:val="24"/>
        </w:rPr>
        <w:t xml:space="preserve">Trovare la giusta cura per </w:t>
      </w:r>
      <w:r>
        <w:rPr>
          <w:rFonts w:ascii="Times New Roman" w:hAnsi="Times New Roman" w:cs="Times New Roman"/>
          <w:sz w:val="24"/>
          <w:szCs w:val="24"/>
        </w:rPr>
        <w:t xml:space="preserve">questi pazienti </w:t>
      </w:r>
      <w:r w:rsidR="00641D66" w:rsidRPr="0087669B">
        <w:rPr>
          <w:rFonts w:ascii="Times New Roman" w:hAnsi="Times New Roman" w:cs="Times New Roman"/>
          <w:sz w:val="24"/>
          <w:szCs w:val="24"/>
        </w:rPr>
        <w:t xml:space="preserve">è importante non soltanto per eliminare i sintomi come il prurito, </w:t>
      </w:r>
      <w:r>
        <w:rPr>
          <w:rFonts w:ascii="Times New Roman" w:hAnsi="Times New Roman" w:cs="Times New Roman"/>
          <w:sz w:val="24"/>
          <w:szCs w:val="24"/>
        </w:rPr>
        <w:t>o i segni sulla pelle, ma è fondamentale per ridare una vita “normale” a queste persone, permettergli di ridare significat</w:t>
      </w:r>
      <w:r w:rsidR="00C86F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al</w:t>
      </w:r>
      <w:r w:rsidR="00C86F32">
        <w:rPr>
          <w:rFonts w:ascii="Times New Roman" w:hAnsi="Times New Roman" w:cs="Times New Roman"/>
          <w:sz w:val="24"/>
          <w:szCs w:val="24"/>
        </w:rPr>
        <w:t xml:space="preserve"> lavoro, allo studio, alla vita. E’ importante che i pazienti sappiano che esistono cure valide per queste malattie e coloro che vogliono curarsi debbono essere incoraggiati e sostenuti a pretendere e perseguire il miglior percorso di cura disponibile. </w:t>
      </w:r>
    </w:p>
    <w:p w:rsidR="00C86F32" w:rsidRDefault="00C86F32" w:rsidP="00641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15D5" w:rsidRPr="0087669B" w:rsidRDefault="00F315D5" w:rsidP="00F31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69B">
        <w:rPr>
          <w:rFonts w:ascii="Times New Roman" w:hAnsi="Times New Roman" w:cs="Times New Roman"/>
          <w:b/>
          <w:sz w:val="24"/>
          <w:szCs w:val="24"/>
        </w:rPr>
        <w:t xml:space="preserve">Il Prof. Giampiero </w:t>
      </w:r>
      <w:proofErr w:type="spellStart"/>
      <w:r w:rsidRPr="0087669B">
        <w:rPr>
          <w:rFonts w:ascii="Times New Roman" w:hAnsi="Times New Roman" w:cs="Times New Roman"/>
          <w:b/>
          <w:sz w:val="24"/>
          <w:szCs w:val="24"/>
        </w:rPr>
        <w:t>Girolomoni</w:t>
      </w:r>
      <w:proofErr w:type="spellEnd"/>
      <w:r w:rsidRPr="00876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1AF" w:rsidRPr="0087669B">
        <w:rPr>
          <w:rFonts w:ascii="Times New Roman" w:hAnsi="Times New Roman" w:cs="Times New Roman"/>
          <w:b/>
          <w:sz w:val="24"/>
          <w:szCs w:val="24"/>
        </w:rPr>
        <w:t>è</w:t>
      </w:r>
      <w:r w:rsidRPr="00876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7F5" w:rsidRPr="0087669B">
        <w:rPr>
          <w:rFonts w:ascii="Times New Roman" w:hAnsi="Times New Roman" w:cs="Times New Roman"/>
          <w:b/>
          <w:sz w:val="24"/>
          <w:szCs w:val="24"/>
        </w:rPr>
        <w:t>Professore Ordinario di Dermatologia e Vener</w:t>
      </w:r>
      <w:r w:rsidR="00543F69">
        <w:rPr>
          <w:rFonts w:ascii="Times New Roman" w:hAnsi="Times New Roman" w:cs="Times New Roman"/>
          <w:b/>
          <w:sz w:val="24"/>
          <w:szCs w:val="24"/>
        </w:rPr>
        <w:t>e</w:t>
      </w:r>
      <w:r w:rsidR="004E07F5" w:rsidRPr="0087669B">
        <w:rPr>
          <w:rFonts w:ascii="Times New Roman" w:hAnsi="Times New Roman" w:cs="Times New Roman"/>
          <w:b/>
          <w:sz w:val="24"/>
          <w:szCs w:val="24"/>
        </w:rPr>
        <w:t xml:space="preserve">ologia, Università degli Studi di Verona, </w:t>
      </w:r>
      <w:proofErr w:type="spellStart"/>
      <w:r w:rsidR="00543F69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="00543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F69">
        <w:rPr>
          <w:rFonts w:ascii="Times New Roman" w:hAnsi="Times New Roman" w:cs="Times New Roman"/>
          <w:b/>
          <w:sz w:val="24"/>
          <w:szCs w:val="24"/>
        </w:rPr>
        <w:t>President</w:t>
      </w:r>
      <w:proofErr w:type="spellEnd"/>
      <w:r w:rsidR="004E07F5" w:rsidRPr="00876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7F5" w:rsidRPr="0087669B">
        <w:rPr>
          <w:rFonts w:ascii="Times New Roman" w:hAnsi="Times New Roman" w:cs="Times New Roman"/>
          <w:b/>
          <w:sz w:val="24"/>
          <w:szCs w:val="24"/>
        </w:rPr>
        <w:t>SIDeMaST</w:t>
      </w:r>
      <w:proofErr w:type="spellEnd"/>
      <w:r w:rsidR="004E07F5" w:rsidRPr="0087669B">
        <w:rPr>
          <w:rFonts w:ascii="Times New Roman" w:hAnsi="Times New Roman" w:cs="Times New Roman"/>
          <w:b/>
          <w:sz w:val="24"/>
          <w:szCs w:val="24"/>
        </w:rPr>
        <w:t>.</w:t>
      </w:r>
    </w:p>
    <w:p w:rsidR="004E3B40" w:rsidRPr="0087669B" w:rsidRDefault="004E3B40" w:rsidP="00F315D5">
      <w:pPr>
        <w:rPr>
          <w:rFonts w:ascii="Times New Roman" w:hAnsi="Times New Roman" w:cs="Times New Roman"/>
          <w:sz w:val="24"/>
          <w:szCs w:val="24"/>
        </w:rPr>
      </w:pPr>
    </w:p>
    <w:sectPr w:rsidR="004E3B40" w:rsidRPr="0087669B" w:rsidSect="00067BB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BF" w:rsidRDefault="00F411BF" w:rsidP="00413603">
      <w:pPr>
        <w:spacing w:after="0" w:line="240" w:lineRule="auto"/>
      </w:pPr>
      <w:r>
        <w:separator/>
      </w:r>
    </w:p>
  </w:endnote>
  <w:endnote w:type="continuationSeparator" w:id="0">
    <w:p w:rsidR="00F411BF" w:rsidRDefault="00F411BF" w:rsidP="0041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302"/>
      <w:gridCol w:w="7371"/>
    </w:tblGrid>
    <w:tr w:rsidR="00600470" w:rsidRPr="00045E03" w:rsidTr="00EF65D6">
      <w:trPr>
        <w:cantSplit/>
      </w:trPr>
      <w:tc>
        <w:tcPr>
          <w:tcW w:w="3047" w:type="dxa"/>
        </w:tcPr>
        <w:p w:rsidR="00600470" w:rsidRPr="009D69B9" w:rsidRDefault="00600470" w:rsidP="00600470">
          <w:pPr>
            <w:pStyle w:val="Titolo3"/>
            <w:ind w:right="140"/>
          </w:pPr>
          <w:r w:rsidRPr="00EC5375">
            <w:rPr>
              <w:b/>
              <w:noProof/>
              <w:sz w:val="28"/>
              <w:lang w:eastAsia="it-IT"/>
            </w:rPr>
            <w:drawing>
              <wp:inline distT="0" distB="0" distL="0" distR="0">
                <wp:extent cx="1876425" cy="10477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" w:type="dxa"/>
        </w:tcPr>
        <w:p w:rsidR="00600470" w:rsidRPr="00320344" w:rsidRDefault="00600470" w:rsidP="00600470">
          <w:pPr>
            <w:pStyle w:val="Titolo3"/>
            <w:ind w:right="140"/>
            <w:rPr>
              <w:b/>
              <w:sz w:val="22"/>
            </w:rPr>
          </w:pPr>
        </w:p>
      </w:tc>
      <w:tc>
        <w:tcPr>
          <w:tcW w:w="7371" w:type="dxa"/>
          <w:tcBorders>
            <w:top w:val="single" w:sz="4" w:space="0" w:color="auto"/>
            <w:bottom w:val="single" w:sz="4" w:space="0" w:color="auto"/>
          </w:tcBorders>
        </w:tcPr>
        <w:p w:rsidR="00600470" w:rsidRDefault="00600470" w:rsidP="00600470">
          <w:pPr>
            <w:pStyle w:val="Titolo3"/>
            <w:ind w:right="140"/>
            <w:rPr>
              <w:b/>
              <w:sz w:val="20"/>
            </w:rPr>
          </w:pPr>
        </w:p>
        <w:p w:rsidR="00600470" w:rsidRPr="008E568F" w:rsidRDefault="00600470" w:rsidP="00600470">
          <w:pPr>
            <w:pStyle w:val="Titolo3"/>
            <w:ind w:right="140"/>
            <w:rPr>
              <w:b/>
              <w:sz w:val="18"/>
            </w:rPr>
          </w:pPr>
          <w:r w:rsidRPr="008E568F">
            <w:rPr>
              <w:b/>
              <w:sz w:val="18"/>
            </w:rPr>
            <w:t>Sede legale: c/o Studio FLP – Via Malta 12/a – 25124 Brescia</w:t>
          </w:r>
        </w:p>
        <w:p w:rsidR="00600470" w:rsidRPr="008E568F" w:rsidRDefault="00600470" w:rsidP="00600470">
          <w:pPr>
            <w:pStyle w:val="Titolo3"/>
            <w:ind w:right="140"/>
            <w:rPr>
              <w:b/>
              <w:sz w:val="18"/>
            </w:rPr>
          </w:pPr>
          <w:r w:rsidRPr="008E568F">
            <w:rPr>
              <w:b/>
              <w:sz w:val="18"/>
            </w:rPr>
            <w:t>Codice Fiscale 80405460587</w:t>
          </w:r>
        </w:p>
        <w:p w:rsidR="00600470" w:rsidRPr="008E568F" w:rsidRDefault="00600470" w:rsidP="00600470">
          <w:pPr>
            <w:ind w:right="140"/>
            <w:rPr>
              <w:sz w:val="18"/>
            </w:rPr>
          </w:pPr>
          <w:r w:rsidRPr="008E568F">
            <w:rPr>
              <w:sz w:val="18"/>
            </w:rPr>
            <w:t>Segreteria Organizzativa: Via</w:t>
          </w:r>
          <w:r w:rsidR="007F4796">
            <w:rPr>
              <w:sz w:val="18"/>
            </w:rPr>
            <w:t xml:space="preserve"> Cefalonia</w:t>
          </w:r>
          <w:r w:rsidRPr="008E568F">
            <w:rPr>
              <w:sz w:val="18"/>
            </w:rPr>
            <w:t xml:space="preserve"> </w:t>
          </w:r>
          <w:r w:rsidR="007F4796">
            <w:rPr>
              <w:sz w:val="18"/>
            </w:rPr>
            <w:t>55</w:t>
          </w:r>
          <w:r w:rsidRPr="008E568F">
            <w:rPr>
              <w:sz w:val="18"/>
            </w:rPr>
            <w:t xml:space="preserve">, 25124 Brescia </w:t>
          </w:r>
        </w:p>
        <w:p w:rsidR="00600470" w:rsidRPr="007F4796" w:rsidRDefault="00600470" w:rsidP="00600470">
          <w:pPr>
            <w:ind w:right="140"/>
            <w:rPr>
              <w:lang w:val="en-US"/>
            </w:rPr>
          </w:pPr>
          <w:r w:rsidRPr="007F4796">
            <w:rPr>
              <w:sz w:val="18"/>
              <w:lang w:val="en-US"/>
            </w:rPr>
            <w:t>Tel 030-</w:t>
          </w:r>
          <w:r w:rsidR="007F4796" w:rsidRPr="007F4796">
            <w:rPr>
              <w:sz w:val="18"/>
              <w:lang w:val="en-US"/>
            </w:rPr>
            <w:t>7870</w:t>
          </w:r>
          <w:r w:rsidR="007F4796">
            <w:rPr>
              <w:sz w:val="18"/>
              <w:lang w:val="en-US"/>
            </w:rPr>
            <w:t>441</w:t>
          </w:r>
          <w:r w:rsidRPr="007F4796">
            <w:rPr>
              <w:sz w:val="18"/>
              <w:lang w:val="en-US"/>
            </w:rPr>
            <w:t>, Fax 030-</w:t>
          </w:r>
          <w:r w:rsidR="007F4796">
            <w:rPr>
              <w:sz w:val="18"/>
              <w:lang w:val="en-US"/>
            </w:rPr>
            <w:t>7870440</w:t>
          </w:r>
          <w:r w:rsidRPr="007F4796">
            <w:rPr>
              <w:sz w:val="18"/>
              <w:lang w:val="en-US"/>
            </w:rPr>
            <w:t>, Email segreteria@sidemast.org</w:t>
          </w:r>
        </w:p>
      </w:tc>
    </w:tr>
  </w:tbl>
  <w:p w:rsidR="00600470" w:rsidRPr="007F4796" w:rsidRDefault="00600470" w:rsidP="00600470">
    <w:pPr>
      <w:ind w:right="140"/>
      <w:rPr>
        <w:lang w:val="en-US"/>
      </w:rPr>
    </w:pPr>
  </w:p>
  <w:p w:rsidR="00600470" w:rsidRPr="007F4796" w:rsidRDefault="0060047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BF" w:rsidRDefault="00F411BF" w:rsidP="00413603">
      <w:pPr>
        <w:spacing w:after="0" w:line="240" w:lineRule="auto"/>
      </w:pPr>
      <w:r>
        <w:separator/>
      </w:r>
    </w:p>
  </w:footnote>
  <w:footnote w:type="continuationSeparator" w:id="0">
    <w:p w:rsidR="00F411BF" w:rsidRDefault="00F411BF" w:rsidP="0041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302"/>
      <w:gridCol w:w="7371"/>
    </w:tblGrid>
    <w:tr w:rsidR="00413603" w:rsidRPr="00CE2B58" w:rsidTr="00EF65D6">
      <w:trPr>
        <w:cantSplit/>
      </w:trPr>
      <w:tc>
        <w:tcPr>
          <w:tcW w:w="3047" w:type="dxa"/>
        </w:tcPr>
        <w:p w:rsidR="00413603" w:rsidRDefault="00413603" w:rsidP="00413603">
          <w:pPr>
            <w:spacing w:after="0"/>
            <w:ind w:right="14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23975" cy="888345"/>
                <wp:effectExtent l="0" t="0" r="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661" cy="891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" w:type="dxa"/>
        </w:tcPr>
        <w:p w:rsidR="00413603" w:rsidRDefault="00413603" w:rsidP="00413603">
          <w:pPr>
            <w:pStyle w:val="Titolo2"/>
            <w:ind w:right="140"/>
            <w:jc w:val="left"/>
            <w:rPr>
              <w:b w:val="0"/>
              <w:sz w:val="36"/>
            </w:rPr>
          </w:pPr>
        </w:p>
      </w:tc>
      <w:tc>
        <w:tcPr>
          <w:tcW w:w="7371" w:type="dxa"/>
        </w:tcPr>
        <w:p w:rsidR="00413603" w:rsidRDefault="00413603" w:rsidP="00413603">
          <w:pPr>
            <w:pStyle w:val="Titolo2"/>
            <w:ind w:right="140"/>
            <w:rPr>
              <w:i w:val="0"/>
              <w:caps/>
              <w:sz w:val="40"/>
            </w:rPr>
          </w:pPr>
          <w:r>
            <w:rPr>
              <w:i w:val="0"/>
              <w:sz w:val="40"/>
            </w:rPr>
            <w:t xml:space="preserve">Società Italiana di Dermatologia </w:t>
          </w:r>
        </w:p>
        <w:p w:rsidR="00413603" w:rsidRPr="008E568F" w:rsidRDefault="00413603" w:rsidP="00413603">
          <w:pPr>
            <w:pStyle w:val="Titolo2"/>
            <w:ind w:right="140"/>
            <w:rPr>
              <w:b w:val="0"/>
              <w:sz w:val="28"/>
            </w:rPr>
          </w:pPr>
          <w:proofErr w:type="gramStart"/>
          <w:r w:rsidRPr="008E568F">
            <w:rPr>
              <w:b w:val="0"/>
              <w:sz w:val="28"/>
            </w:rPr>
            <w:t>medica</w:t>
          </w:r>
          <w:proofErr w:type="gramEnd"/>
          <w:r w:rsidRPr="008E568F">
            <w:rPr>
              <w:b w:val="0"/>
              <w:sz w:val="28"/>
            </w:rPr>
            <w:t>, chirurgica, estetica e di</w:t>
          </w:r>
        </w:p>
        <w:p w:rsidR="00413603" w:rsidRPr="008E568F" w:rsidRDefault="00413603" w:rsidP="00413603">
          <w:pPr>
            <w:pStyle w:val="Titolo2"/>
            <w:ind w:right="140"/>
            <w:rPr>
              <w:b w:val="0"/>
              <w:sz w:val="28"/>
            </w:rPr>
          </w:pPr>
          <w:proofErr w:type="gramStart"/>
          <w:r w:rsidRPr="008E568F">
            <w:rPr>
              <w:b w:val="0"/>
              <w:sz w:val="28"/>
            </w:rPr>
            <w:t>malattie</w:t>
          </w:r>
          <w:proofErr w:type="gramEnd"/>
          <w:r w:rsidRPr="008E568F">
            <w:rPr>
              <w:b w:val="0"/>
              <w:sz w:val="28"/>
            </w:rPr>
            <w:t xml:space="preserve"> sessualmente trasmesse</w:t>
          </w:r>
        </w:p>
        <w:p w:rsidR="00413603" w:rsidRPr="00045E03" w:rsidRDefault="00413603" w:rsidP="00413603">
          <w:pPr>
            <w:spacing w:after="0"/>
            <w:ind w:right="140"/>
            <w:jc w:val="both"/>
          </w:pPr>
          <w:r w:rsidRPr="00045E03">
            <w:t>(</w:t>
          </w:r>
          <w:proofErr w:type="spellStart"/>
          <w:proofErr w:type="gramStart"/>
          <w:r w:rsidRPr="00045E03">
            <w:t>SIDeMaST</w:t>
          </w:r>
          <w:proofErr w:type="spellEnd"/>
          <w:r w:rsidRPr="00045E03">
            <w:t xml:space="preserve">)   </w:t>
          </w:r>
          <w:proofErr w:type="gramEnd"/>
          <w:r w:rsidRPr="00045E03">
            <w:t xml:space="preserve">                                                   (già S.I.D.E.V.)</w:t>
          </w:r>
        </w:p>
      </w:tc>
    </w:tr>
    <w:tr w:rsidR="00413603" w:rsidTr="00EF65D6">
      <w:trPr>
        <w:cantSplit/>
      </w:trPr>
      <w:tc>
        <w:tcPr>
          <w:tcW w:w="3047" w:type="dxa"/>
        </w:tcPr>
        <w:p w:rsidR="00413603" w:rsidRDefault="00413603" w:rsidP="00413603">
          <w:pPr>
            <w:spacing w:after="0"/>
            <w:ind w:right="140"/>
            <w:jc w:val="center"/>
            <w:rPr>
              <w:sz w:val="12"/>
            </w:rPr>
          </w:pPr>
          <w:r>
            <w:rPr>
              <w:sz w:val="12"/>
            </w:rPr>
            <w:t>Ente Morale</w:t>
          </w:r>
        </w:p>
        <w:p w:rsidR="00413603" w:rsidRDefault="00413603" w:rsidP="00413603">
          <w:pPr>
            <w:spacing w:after="0"/>
            <w:ind w:right="140"/>
            <w:jc w:val="center"/>
            <w:rPr>
              <w:sz w:val="12"/>
            </w:rPr>
          </w:pPr>
          <w:r>
            <w:rPr>
              <w:sz w:val="12"/>
            </w:rPr>
            <w:t>R.D. 20.12.1923, n. 3010</w:t>
          </w:r>
        </w:p>
        <w:p w:rsidR="00413603" w:rsidRDefault="00413603" w:rsidP="00413603">
          <w:pPr>
            <w:spacing w:after="0"/>
            <w:ind w:right="140"/>
          </w:pPr>
        </w:p>
      </w:tc>
      <w:tc>
        <w:tcPr>
          <w:tcW w:w="302" w:type="dxa"/>
        </w:tcPr>
        <w:p w:rsidR="00413603" w:rsidRDefault="00413603" w:rsidP="00413603">
          <w:pPr>
            <w:pStyle w:val="Titolo2"/>
            <w:ind w:right="140"/>
            <w:jc w:val="left"/>
            <w:rPr>
              <w:b w:val="0"/>
              <w:sz w:val="36"/>
            </w:rPr>
          </w:pPr>
        </w:p>
      </w:tc>
      <w:tc>
        <w:tcPr>
          <w:tcW w:w="7371" w:type="dxa"/>
        </w:tcPr>
        <w:p w:rsidR="00413603" w:rsidRDefault="00413603" w:rsidP="00413603">
          <w:pPr>
            <w:pStyle w:val="Titolo2"/>
            <w:ind w:right="140"/>
            <w:rPr>
              <w:b w:val="0"/>
              <w:i w:val="0"/>
              <w:sz w:val="28"/>
            </w:rPr>
          </w:pPr>
          <w:r w:rsidRPr="008E568F">
            <w:rPr>
              <w:b w:val="0"/>
              <w:i w:val="0"/>
              <w:sz w:val="24"/>
            </w:rPr>
            <w:t>www.sidemast.org</w:t>
          </w:r>
        </w:p>
      </w:tc>
    </w:tr>
  </w:tbl>
  <w:p w:rsidR="00413603" w:rsidRDefault="004136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3"/>
    <w:rsid w:val="00045E03"/>
    <w:rsid w:val="00067BB0"/>
    <w:rsid w:val="000C5B67"/>
    <w:rsid w:val="000E21E1"/>
    <w:rsid w:val="00125632"/>
    <w:rsid w:val="00176BBE"/>
    <w:rsid w:val="00185F5B"/>
    <w:rsid w:val="001C5AEA"/>
    <w:rsid w:val="001D7EA3"/>
    <w:rsid w:val="001F58A4"/>
    <w:rsid w:val="002832FC"/>
    <w:rsid w:val="00286352"/>
    <w:rsid w:val="002C1315"/>
    <w:rsid w:val="002D513B"/>
    <w:rsid w:val="00305BB5"/>
    <w:rsid w:val="003B094C"/>
    <w:rsid w:val="003F7629"/>
    <w:rsid w:val="00402742"/>
    <w:rsid w:val="00413603"/>
    <w:rsid w:val="00422CBE"/>
    <w:rsid w:val="004346E3"/>
    <w:rsid w:val="004E07F5"/>
    <w:rsid w:val="004E3B40"/>
    <w:rsid w:val="00543F69"/>
    <w:rsid w:val="00590321"/>
    <w:rsid w:val="005B308C"/>
    <w:rsid w:val="005B6322"/>
    <w:rsid w:val="00600470"/>
    <w:rsid w:val="00641D66"/>
    <w:rsid w:val="00655E77"/>
    <w:rsid w:val="00670751"/>
    <w:rsid w:val="00676C80"/>
    <w:rsid w:val="00697E16"/>
    <w:rsid w:val="006D14DA"/>
    <w:rsid w:val="007917D5"/>
    <w:rsid w:val="007F4796"/>
    <w:rsid w:val="0087669B"/>
    <w:rsid w:val="00890494"/>
    <w:rsid w:val="009047CB"/>
    <w:rsid w:val="00930FB2"/>
    <w:rsid w:val="009D5AF0"/>
    <w:rsid w:val="00A445D0"/>
    <w:rsid w:val="00A65C60"/>
    <w:rsid w:val="00A661C3"/>
    <w:rsid w:val="00AB0F23"/>
    <w:rsid w:val="00B03824"/>
    <w:rsid w:val="00B221AF"/>
    <w:rsid w:val="00B63EE7"/>
    <w:rsid w:val="00B92336"/>
    <w:rsid w:val="00BB2981"/>
    <w:rsid w:val="00C86F32"/>
    <w:rsid w:val="00CA698B"/>
    <w:rsid w:val="00CC30B6"/>
    <w:rsid w:val="00CE2B58"/>
    <w:rsid w:val="00D9470B"/>
    <w:rsid w:val="00E16D95"/>
    <w:rsid w:val="00E436BA"/>
    <w:rsid w:val="00F20146"/>
    <w:rsid w:val="00F315D5"/>
    <w:rsid w:val="00F411BF"/>
    <w:rsid w:val="00F967DB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B7322-FAB5-46F6-A923-AD3FA874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32FC"/>
    <w:pPr>
      <w:spacing w:line="256" w:lineRule="auto"/>
    </w:pPr>
  </w:style>
  <w:style w:type="paragraph" w:styleId="Titolo2">
    <w:name w:val="heading 2"/>
    <w:basedOn w:val="Normale"/>
    <w:next w:val="Normale"/>
    <w:link w:val="Titolo2Carattere"/>
    <w:qFormat/>
    <w:rsid w:val="004136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0047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3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603"/>
  </w:style>
  <w:style w:type="paragraph" w:styleId="Pidipagina">
    <w:name w:val="footer"/>
    <w:basedOn w:val="Normale"/>
    <w:link w:val="PidipaginaCarattere"/>
    <w:uiPriority w:val="99"/>
    <w:unhideWhenUsed/>
    <w:rsid w:val="00413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603"/>
  </w:style>
  <w:style w:type="character" w:customStyle="1" w:styleId="Titolo2Carattere">
    <w:name w:val="Titolo 2 Carattere"/>
    <w:basedOn w:val="Carpredefinitoparagrafo"/>
    <w:link w:val="Titolo2"/>
    <w:rsid w:val="00413603"/>
    <w:rPr>
      <w:rFonts w:ascii="Times New Roman" w:eastAsia="Times New Roman" w:hAnsi="Times New Roman" w:cs="Times New Roman"/>
      <w:b/>
      <w:i/>
      <w:sz w:val="32"/>
      <w:szCs w:val="20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004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60316-F853-46EC-8102-D17B0C72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 Diciannove</cp:lastModifiedBy>
  <cp:revision>3</cp:revision>
  <cp:lastPrinted>2019-03-27T09:12:00Z</cp:lastPrinted>
  <dcterms:created xsi:type="dcterms:W3CDTF">2019-03-27T08:12:00Z</dcterms:created>
  <dcterms:modified xsi:type="dcterms:W3CDTF">2019-03-27T09:44:00Z</dcterms:modified>
</cp:coreProperties>
</file>