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E7" w:rsidRDefault="000F2446" w:rsidP="00950939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939925" cy="548640"/>
            <wp:effectExtent l="0" t="0" r="317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E7" w:rsidRDefault="008709E7">
      <w:pPr>
        <w:pStyle w:val="Corpotesto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:rsidR="008709E7" w:rsidRDefault="008709E7">
      <w:pPr>
        <w:pStyle w:val="Corpotesto"/>
        <w:kinsoku w:val="0"/>
        <w:overflowPunct w:val="0"/>
        <w:spacing w:before="2"/>
        <w:rPr>
          <w:sz w:val="21"/>
          <w:szCs w:val="21"/>
        </w:rPr>
      </w:pPr>
    </w:p>
    <w:p w:rsidR="008709E7" w:rsidRDefault="008709E7" w:rsidP="00950939">
      <w:pPr>
        <w:pStyle w:val="Titolo1"/>
        <w:kinsoku w:val="0"/>
        <w:overflowPunct w:val="0"/>
        <w:spacing w:before="0"/>
        <w:ind w:left="0" w:right="0"/>
      </w:pPr>
      <w:bookmarkStart w:id="0" w:name="3._Scheda_Biomarcatori_tumorali"/>
      <w:bookmarkEnd w:id="0"/>
      <w:r>
        <w:t>I BIOMARCATORI TUMORALI</w:t>
      </w:r>
    </w:p>
    <w:p w:rsidR="008709E7" w:rsidRDefault="008709E7" w:rsidP="00950939">
      <w:pPr>
        <w:pStyle w:val="Corpotesto"/>
        <w:kinsoku w:val="0"/>
        <w:overflowPunct w:val="0"/>
        <w:rPr>
          <w:b/>
          <w:bCs/>
          <w:sz w:val="25"/>
          <w:szCs w:val="25"/>
        </w:rPr>
      </w:pPr>
    </w:p>
    <w:p w:rsidR="00646BE2" w:rsidRDefault="008709E7" w:rsidP="00950939">
      <w:pPr>
        <w:pStyle w:val="Corpotesto"/>
        <w:kinsoku w:val="0"/>
        <w:overflowPunct w:val="0"/>
        <w:jc w:val="both"/>
      </w:pPr>
      <w:r>
        <w:t>I biomarcatori tumorali sono molecole biologiche che indicano la presenza del tumore</w:t>
      </w:r>
      <w:r w:rsidR="00BA72F5">
        <w:t xml:space="preserve"> e</w:t>
      </w:r>
      <w:r>
        <w:t xml:space="preserve"> che si possono rilevare nei campioni tumorali o nel sangue (intero oppure in plasma o siero) e in altri fluidi corporei. </w:t>
      </w:r>
    </w:p>
    <w:p w:rsidR="008709E7" w:rsidRDefault="008709E7" w:rsidP="00950939">
      <w:pPr>
        <w:pStyle w:val="Corpotesto"/>
        <w:kinsoku w:val="0"/>
        <w:overflowPunct w:val="0"/>
        <w:jc w:val="both"/>
      </w:pPr>
      <w:r>
        <w:t>Possono aiutare gli oncologi nella definizione della prognosi (biomarcatori prognostici)</w:t>
      </w:r>
      <w:r>
        <w:rPr>
          <w:spacing w:val="11"/>
        </w:rPr>
        <w:t xml:space="preserve"> </w:t>
      </w:r>
      <w:r>
        <w:t>oppure</w:t>
      </w:r>
      <w:r>
        <w:rPr>
          <w:spacing w:val="15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previsione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risposta</w:t>
      </w:r>
      <w:r>
        <w:rPr>
          <w:spacing w:val="11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specifica</w:t>
      </w:r>
      <w:r>
        <w:rPr>
          <w:spacing w:val="12"/>
        </w:rPr>
        <w:t xml:space="preserve"> </w:t>
      </w:r>
      <w:r>
        <w:t>terapia</w:t>
      </w:r>
      <w:r>
        <w:rPr>
          <w:spacing w:val="11"/>
        </w:rPr>
        <w:t xml:space="preserve"> </w:t>
      </w:r>
      <w:r>
        <w:t>(biomarcatori</w:t>
      </w:r>
      <w:r w:rsidR="00D523E8">
        <w:t xml:space="preserve"> </w:t>
      </w:r>
      <w:r>
        <w:t>predittivi).</w:t>
      </w:r>
    </w:p>
    <w:p w:rsidR="00D523E8" w:rsidRDefault="00D523E8" w:rsidP="00D523E8">
      <w:pPr>
        <w:pStyle w:val="Corpotesto"/>
        <w:kinsoku w:val="0"/>
        <w:overflowPunct w:val="0"/>
        <w:ind w:left="118" w:right="111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126917</wp:posOffset>
            </wp:positionH>
            <wp:positionV relativeFrom="margin">
              <wp:posOffset>2154555</wp:posOffset>
            </wp:positionV>
            <wp:extent cx="970280" cy="1661795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9E7" w:rsidRDefault="008709E7" w:rsidP="00956DDE">
      <w:pPr>
        <w:pStyle w:val="Corpotesto"/>
        <w:kinsoku w:val="0"/>
        <w:overflowPunct w:val="0"/>
        <w:spacing w:line="237" w:lineRule="auto"/>
        <w:ind w:left="2072"/>
        <w:jc w:val="both"/>
      </w:pPr>
      <w:r>
        <w:t>Esiste una grande varietà di biomarcatori: proteine (enzimi o recettori), acidi nucleici (es. alterazione genetiche o microRNA), anticorpi e peptidi.</w:t>
      </w:r>
    </w:p>
    <w:p w:rsidR="008709E7" w:rsidRDefault="008709E7">
      <w:pPr>
        <w:pStyle w:val="Corpotesto"/>
        <w:kinsoku w:val="0"/>
        <w:overflowPunct w:val="0"/>
        <w:spacing w:before="1"/>
      </w:pPr>
    </w:p>
    <w:p w:rsidR="008709E7" w:rsidRDefault="008709E7">
      <w:pPr>
        <w:pStyle w:val="Corpotesto"/>
        <w:kinsoku w:val="0"/>
        <w:overflowPunct w:val="0"/>
        <w:spacing w:before="1"/>
        <w:ind w:left="2072" w:right="112"/>
        <w:jc w:val="both"/>
      </w:pPr>
      <w:r>
        <w:t xml:space="preserve">Negli ultimi anni e grazie all’avvento di terapie sempre più </w:t>
      </w:r>
      <w:r>
        <w:rPr>
          <w:spacing w:val="2"/>
        </w:rPr>
        <w:t xml:space="preserve">mirate, </w:t>
      </w:r>
      <w:r>
        <w:t>il numero</w:t>
      </w:r>
      <w:r w:rsidR="00646BE2">
        <w:t xml:space="preserve"> </w:t>
      </w:r>
      <w:r>
        <w:t>di biomarcatori predittivi è costantemente aumentato, soprattutto per permettere l’accesso alle cure migliori e più appropriate per specifiche categorie di pazienti. Questo concetto innovativo prende il nome di medicina personalizzata.</w:t>
      </w:r>
    </w:p>
    <w:p w:rsidR="00646BE2" w:rsidRDefault="00646BE2">
      <w:pPr>
        <w:pStyle w:val="Corpotesto"/>
        <w:kinsoku w:val="0"/>
        <w:overflowPunct w:val="0"/>
        <w:spacing w:before="1"/>
        <w:ind w:left="118" w:right="113"/>
        <w:jc w:val="both"/>
      </w:pPr>
    </w:p>
    <w:p w:rsidR="00D523E8" w:rsidRDefault="00D523E8">
      <w:pPr>
        <w:pStyle w:val="Corpotesto"/>
        <w:kinsoku w:val="0"/>
        <w:overflowPunct w:val="0"/>
        <w:spacing w:before="1"/>
        <w:ind w:left="118" w:right="113"/>
        <w:jc w:val="both"/>
      </w:pPr>
    </w:p>
    <w:p w:rsidR="00D523E8" w:rsidRDefault="00D523E8">
      <w:pPr>
        <w:pStyle w:val="Corpotesto"/>
        <w:kinsoku w:val="0"/>
        <w:overflowPunct w:val="0"/>
        <w:spacing w:before="1"/>
        <w:ind w:left="118" w:right="113"/>
        <w:jc w:val="both"/>
      </w:pPr>
    </w:p>
    <w:p w:rsidR="00646BE2" w:rsidRDefault="00646BE2">
      <w:pPr>
        <w:pStyle w:val="Corpotesto"/>
        <w:kinsoku w:val="0"/>
        <w:overflowPunct w:val="0"/>
        <w:spacing w:before="1"/>
        <w:ind w:left="118" w:right="113"/>
        <w:jc w:val="both"/>
      </w:pPr>
    </w:p>
    <w:p w:rsidR="008709E7" w:rsidRDefault="008709E7" w:rsidP="00950939">
      <w:pPr>
        <w:pStyle w:val="Corpotesto"/>
        <w:kinsoku w:val="0"/>
        <w:overflowPunct w:val="0"/>
        <w:jc w:val="both"/>
      </w:pPr>
      <w:r>
        <w:t>Un esempio in tale senso è rappresentato dai tumori del polmone</w:t>
      </w:r>
      <w:r w:rsidR="003A7EC1">
        <w:t>,</w:t>
      </w:r>
      <w:r>
        <w:t xml:space="preserve"> nei quali la caratterizzazione molecolare è un elemento fondamentale del percorso di diagnosi e cura del paziente, alla luce della possibilità di adoperare trattamenti specifici in popolazioni selezionate per la presenza o l’espressione di un determinato marcatore. A tal proposito, in tutti i pazienti con NSCLC in stadio IIIB-IIIC (non candidati a trattamenti loco-regionali), e IV, risulta raccomandato completare la diagnosi morfologica con la caratterizzazione delle mutazioni in EGFR (</w:t>
      </w:r>
      <w:proofErr w:type="spellStart"/>
      <w:r>
        <w:t>Epidermal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Receptor), la definizione</w:t>
      </w:r>
      <w:bookmarkStart w:id="1" w:name="_GoBack"/>
      <w:bookmarkEnd w:id="1"/>
      <w:r>
        <w:t xml:space="preserve"> delle traslocazioni a carico di ALK (</w:t>
      </w:r>
      <w:proofErr w:type="spellStart"/>
      <w:r>
        <w:t>Anaplastc</w:t>
      </w:r>
      <w:proofErr w:type="spellEnd"/>
      <w:r>
        <w:t xml:space="preserve"> </w:t>
      </w:r>
      <w:proofErr w:type="spellStart"/>
      <w:r>
        <w:rPr>
          <w:spacing w:val="2"/>
        </w:rPr>
        <w:t>Lymphoma</w:t>
      </w:r>
      <w:proofErr w:type="spellEnd"/>
      <w:r>
        <w:rPr>
          <w:spacing w:val="2"/>
        </w:rPr>
        <w:t xml:space="preserve"> </w:t>
      </w:r>
      <w:proofErr w:type="spellStart"/>
      <w:r>
        <w:t>Kinase</w:t>
      </w:r>
      <w:proofErr w:type="spellEnd"/>
      <w:r>
        <w:t xml:space="preserve">) e ROS-1 e la valutazione dei livelli di espressione del PD – L1 (secondo i </w:t>
      </w:r>
      <w:proofErr w:type="spellStart"/>
      <w:r>
        <w:t>cut</w:t>
      </w:r>
      <w:proofErr w:type="spellEnd"/>
      <w:r>
        <w:t xml:space="preserve"> – off validati dagli studi clinici registrativi).</w:t>
      </w:r>
    </w:p>
    <w:p w:rsidR="008709E7" w:rsidRDefault="008709E7" w:rsidP="00950939">
      <w:pPr>
        <w:pStyle w:val="Corpotesto"/>
        <w:kinsoku w:val="0"/>
        <w:overflowPunct w:val="0"/>
        <w:rPr>
          <w:sz w:val="32"/>
          <w:szCs w:val="32"/>
        </w:rPr>
      </w:pPr>
    </w:p>
    <w:p w:rsidR="00950939" w:rsidRDefault="00950939" w:rsidP="00950939">
      <w:pPr>
        <w:pStyle w:val="Corpotesto"/>
        <w:kinsoku w:val="0"/>
        <w:overflowPunct w:val="0"/>
        <w:rPr>
          <w:sz w:val="32"/>
          <w:szCs w:val="32"/>
        </w:rPr>
      </w:pPr>
    </w:p>
    <w:p w:rsidR="008709E7" w:rsidRDefault="008709E7">
      <w:pPr>
        <w:pStyle w:val="Titolo3"/>
        <w:kinsoku w:val="0"/>
        <w:overflowPunct w:val="0"/>
        <w:ind w:left="118"/>
      </w:pPr>
      <w:r>
        <w:t>Bibliografia</w:t>
      </w:r>
    </w:p>
    <w:p w:rsidR="008709E7" w:rsidRDefault="003A7EC1">
      <w:pPr>
        <w:pStyle w:val="Paragrafoelenco"/>
        <w:numPr>
          <w:ilvl w:val="0"/>
          <w:numId w:val="1"/>
        </w:numPr>
        <w:tabs>
          <w:tab w:val="left" w:pos="839"/>
        </w:tabs>
        <w:kinsoku w:val="0"/>
        <w:overflowPunct w:val="0"/>
        <w:spacing w:line="267" w:lineRule="exact"/>
        <w:ind w:hanging="361"/>
        <w:rPr>
          <w:color w:val="000000"/>
          <w:sz w:val="22"/>
          <w:szCs w:val="22"/>
        </w:rPr>
      </w:pPr>
      <w:hyperlink r:id="rId10" w:history="1">
        <w:r w:rsidR="008709E7">
          <w:rPr>
            <w:color w:val="0000FF"/>
            <w:sz w:val="22"/>
            <w:szCs w:val="22"/>
            <w:u w:val="single"/>
          </w:rPr>
          <w:t>https://www.cancer.gov/publications/dictionaries/cancer-terms/def/biomarker</w:t>
        </w:r>
      </w:hyperlink>
    </w:p>
    <w:p w:rsidR="008709E7" w:rsidRDefault="008709E7" w:rsidP="00705127">
      <w:pPr>
        <w:pStyle w:val="Paragrafoelenco"/>
        <w:numPr>
          <w:ilvl w:val="0"/>
          <w:numId w:val="1"/>
        </w:numPr>
        <w:tabs>
          <w:tab w:val="left" w:pos="839"/>
        </w:tabs>
        <w:kinsoku w:val="0"/>
        <w:overflowPunct w:val="0"/>
        <w:spacing w:before="4" w:line="267" w:lineRule="exact"/>
        <w:ind w:hanging="361"/>
        <w:rPr>
          <w:color w:val="000000"/>
          <w:sz w:val="22"/>
          <w:szCs w:val="22"/>
        </w:rPr>
      </w:pPr>
      <w:r>
        <w:rPr>
          <w:sz w:val="22"/>
          <w:szCs w:val="22"/>
        </w:rPr>
        <w:t>Linee Guida AIOM</w:t>
      </w:r>
      <w:r w:rsidRPr="00705127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sectPr w:rsidR="008709E7" w:rsidSect="008B269A">
      <w:pgSz w:w="11910" w:h="16840"/>
      <w:pgMar w:top="1040" w:right="980" w:bottom="280" w:left="1020" w:header="720" w:footer="720" w:gutter="0"/>
      <w:cols w:space="720" w:equalWidth="0">
        <w:col w:w="997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79" w:rsidRDefault="004E7D79" w:rsidP="007045BF">
      <w:r>
        <w:separator/>
      </w:r>
    </w:p>
  </w:endnote>
  <w:endnote w:type="continuationSeparator" w:id="0">
    <w:p w:rsidR="004E7D79" w:rsidRDefault="004E7D79" w:rsidP="0070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79" w:rsidRDefault="004E7D79" w:rsidP="007045BF">
      <w:r>
        <w:separator/>
      </w:r>
    </w:p>
  </w:footnote>
  <w:footnote w:type="continuationSeparator" w:id="0">
    <w:p w:rsidR="004E7D79" w:rsidRDefault="004E7D79" w:rsidP="0070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02" w:hanging="284"/>
      </w:pPr>
      <w:rPr>
        <w:rFonts w:ascii="Calibri" w:hAnsi="Calibri"/>
        <w:b w:val="0"/>
        <w:w w:val="100"/>
        <w:sz w:val="22"/>
      </w:rPr>
    </w:lvl>
    <w:lvl w:ilvl="1">
      <w:numFmt w:val="bullet"/>
      <w:lvlText w:val="-"/>
      <w:lvlJc w:val="left"/>
      <w:pPr>
        <w:ind w:left="685" w:hanging="284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646" w:hanging="284"/>
      </w:pPr>
    </w:lvl>
    <w:lvl w:ilvl="4">
      <w:numFmt w:val="bullet"/>
      <w:lvlText w:val="•"/>
      <w:lvlJc w:val="left"/>
      <w:pPr>
        <w:ind w:left="2129" w:hanging="284"/>
      </w:pPr>
    </w:lvl>
    <w:lvl w:ilvl="5">
      <w:numFmt w:val="bullet"/>
      <w:lvlText w:val="•"/>
      <w:lvlJc w:val="left"/>
      <w:pPr>
        <w:ind w:left="2612" w:hanging="284"/>
      </w:pPr>
    </w:lvl>
    <w:lvl w:ilvl="6">
      <w:numFmt w:val="bullet"/>
      <w:lvlText w:val="•"/>
      <w:lvlJc w:val="left"/>
      <w:pPr>
        <w:ind w:left="3095" w:hanging="284"/>
      </w:pPr>
    </w:lvl>
    <w:lvl w:ilvl="7">
      <w:numFmt w:val="bullet"/>
      <w:lvlText w:val="•"/>
      <w:lvlJc w:val="left"/>
      <w:pPr>
        <w:ind w:left="3578" w:hanging="284"/>
      </w:pPr>
    </w:lvl>
    <w:lvl w:ilvl="8">
      <w:numFmt w:val="bullet"/>
      <w:lvlText w:val="•"/>
      <w:lvlJc w:val="left"/>
      <w:pPr>
        <w:ind w:left="4061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62" w:hanging="360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62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65" w:hanging="360"/>
      </w:pPr>
    </w:lvl>
    <w:lvl w:ilvl="4">
      <w:numFmt w:val="bullet"/>
      <w:lvlText w:val="•"/>
      <w:lvlJc w:val="left"/>
      <w:pPr>
        <w:ind w:left="4234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06" w:hanging="360"/>
      </w:pPr>
      <w:rPr>
        <w:b w:val="0"/>
        <w:w w:val="99"/>
      </w:rPr>
    </w:lvl>
    <w:lvl w:ilvl="1">
      <w:numFmt w:val="bullet"/>
      <w:lvlText w:val="•"/>
      <w:lvlJc w:val="left"/>
      <w:pPr>
        <w:ind w:left="867" w:hanging="360"/>
      </w:pPr>
    </w:lvl>
    <w:lvl w:ilvl="2">
      <w:numFmt w:val="bullet"/>
      <w:lvlText w:val="•"/>
      <w:lvlJc w:val="left"/>
      <w:pPr>
        <w:ind w:left="1235" w:hanging="360"/>
      </w:pPr>
    </w:lvl>
    <w:lvl w:ilvl="3">
      <w:numFmt w:val="bullet"/>
      <w:lvlText w:val="•"/>
      <w:lvlJc w:val="left"/>
      <w:pPr>
        <w:ind w:left="1603" w:hanging="360"/>
      </w:pPr>
    </w:lvl>
    <w:lvl w:ilvl="4">
      <w:numFmt w:val="bullet"/>
      <w:lvlText w:val="•"/>
      <w:lvlJc w:val="left"/>
      <w:pPr>
        <w:ind w:left="1971" w:hanging="360"/>
      </w:pPr>
    </w:lvl>
    <w:lvl w:ilvl="5">
      <w:numFmt w:val="bullet"/>
      <w:lvlText w:val="•"/>
      <w:lvlJc w:val="left"/>
      <w:pPr>
        <w:ind w:left="2339" w:hanging="360"/>
      </w:pPr>
    </w:lvl>
    <w:lvl w:ilvl="6">
      <w:numFmt w:val="bullet"/>
      <w:lvlText w:val="•"/>
      <w:lvlJc w:val="left"/>
      <w:pPr>
        <w:ind w:left="2707" w:hanging="360"/>
      </w:pPr>
    </w:lvl>
    <w:lvl w:ilvl="7">
      <w:numFmt w:val="bullet"/>
      <w:lvlText w:val="•"/>
      <w:lvlJc w:val="left"/>
      <w:pPr>
        <w:ind w:left="3075" w:hanging="360"/>
      </w:pPr>
    </w:lvl>
    <w:lvl w:ilvl="8">
      <w:numFmt w:val="bullet"/>
      <w:lvlText w:val="•"/>
      <w:lvlJc w:val="left"/>
      <w:pPr>
        <w:ind w:left="344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402" w:hanging="284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304" w:hanging="284"/>
      </w:pPr>
    </w:lvl>
    <w:lvl w:ilvl="2">
      <w:numFmt w:val="bullet"/>
      <w:lvlText w:val="•"/>
      <w:lvlJc w:val="left"/>
      <w:pPr>
        <w:ind w:left="2209" w:hanging="284"/>
      </w:pPr>
    </w:lvl>
    <w:lvl w:ilvl="3">
      <w:numFmt w:val="bullet"/>
      <w:lvlText w:val="•"/>
      <w:lvlJc w:val="left"/>
      <w:pPr>
        <w:ind w:left="3113" w:hanging="284"/>
      </w:pPr>
    </w:lvl>
    <w:lvl w:ilvl="4">
      <w:numFmt w:val="bullet"/>
      <w:lvlText w:val="•"/>
      <w:lvlJc w:val="left"/>
      <w:pPr>
        <w:ind w:left="4018" w:hanging="284"/>
      </w:pPr>
    </w:lvl>
    <w:lvl w:ilvl="5">
      <w:numFmt w:val="bullet"/>
      <w:lvlText w:val="•"/>
      <w:lvlJc w:val="left"/>
      <w:pPr>
        <w:ind w:left="4923" w:hanging="284"/>
      </w:pPr>
    </w:lvl>
    <w:lvl w:ilvl="6">
      <w:numFmt w:val="bullet"/>
      <w:lvlText w:val="•"/>
      <w:lvlJc w:val="left"/>
      <w:pPr>
        <w:ind w:left="5827" w:hanging="284"/>
      </w:pPr>
    </w:lvl>
    <w:lvl w:ilvl="7">
      <w:numFmt w:val="bullet"/>
      <w:lvlText w:val="•"/>
      <w:lvlJc w:val="left"/>
      <w:pPr>
        <w:ind w:left="6732" w:hanging="284"/>
      </w:pPr>
    </w:lvl>
    <w:lvl w:ilvl="8">
      <w:numFmt w:val="bullet"/>
      <w:lvlText w:val="•"/>
      <w:lvlJc w:val="left"/>
      <w:pPr>
        <w:ind w:left="7637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3"/>
      <w:numFmt w:val="decimal"/>
      <w:lvlText w:val="%1"/>
      <w:lvlJc w:val="left"/>
      <w:pPr>
        <w:ind w:left="402" w:hanging="284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120" w:hanging="284"/>
      </w:pPr>
    </w:lvl>
    <w:lvl w:ilvl="2">
      <w:numFmt w:val="bullet"/>
      <w:lvlText w:val="•"/>
      <w:lvlJc w:val="left"/>
      <w:pPr>
        <w:ind w:left="3806" w:hanging="284"/>
      </w:pPr>
    </w:lvl>
    <w:lvl w:ilvl="3">
      <w:numFmt w:val="bullet"/>
      <w:lvlText w:val="•"/>
      <w:lvlJc w:val="left"/>
      <w:pPr>
        <w:ind w:left="4493" w:hanging="284"/>
      </w:pPr>
    </w:lvl>
    <w:lvl w:ilvl="4">
      <w:numFmt w:val="bullet"/>
      <w:lvlText w:val="•"/>
      <w:lvlJc w:val="left"/>
      <w:pPr>
        <w:ind w:left="5179" w:hanging="284"/>
      </w:pPr>
    </w:lvl>
    <w:lvl w:ilvl="5">
      <w:numFmt w:val="bullet"/>
      <w:lvlText w:val="•"/>
      <w:lvlJc w:val="left"/>
      <w:pPr>
        <w:ind w:left="5866" w:hanging="284"/>
      </w:pPr>
    </w:lvl>
    <w:lvl w:ilvl="6">
      <w:numFmt w:val="bullet"/>
      <w:lvlText w:val="•"/>
      <w:lvlJc w:val="left"/>
      <w:pPr>
        <w:ind w:left="6552" w:hanging="284"/>
      </w:pPr>
    </w:lvl>
    <w:lvl w:ilvl="7">
      <w:numFmt w:val="bullet"/>
      <w:lvlText w:val="•"/>
      <w:lvlJc w:val="left"/>
      <w:pPr>
        <w:ind w:left="7239" w:hanging="284"/>
      </w:pPr>
    </w:lvl>
    <w:lvl w:ilvl="8">
      <w:numFmt w:val="bullet"/>
      <w:lvlText w:val="•"/>
      <w:lvlJc w:val="left"/>
      <w:pPr>
        <w:ind w:left="7926" w:hanging="2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73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-"/>
      <w:lvlJc w:val="left"/>
      <w:pPr>
        <w:ind w:left="473" w:hanging="202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365" w:hanging="202"/>
      </w:pPr>
    </w:lvl>
    <w:lvl w:ilvl="3">
      <w:numFmt w:val="bullet"/>
      <w:lvlText w:val="•"/>
      <w:lvlJc w:val="left"/>
      <w:pPr>
        <w:ind w:left="3307" w:hanging="202"/>
      </w:pPr>
    </w:lvl>
    <w:lvl w:ilvl="4">
      <w:numFmt w:val="bullet"/>
      <w:lvlText w:val="•"/>
      <w:lvlJc w:val="left"/>
      <w:pPr>
        <w:ind w:left="4250" w:hanging="202"/>
      </w:pPr>
    </w:lvl>
    <w:lvl w:ilvl="5">
      <w:numFmt w:val="bullet"/>
      <w:lvlText w:val="•"/>
      <w:lvlJc w:val="left"/>
      <w:pPr>
        <w:ind w:left="5193" w:hanging="202"/>
      </w:pPr>
    </w:lvl>
    <w:lvl w:ilvl="6">
      <w:numFmt w:val="bullet"/>
      <w:lvlText w:val="•"/>
      <w:lvlJc w:val="left"/>
      <w:pPr>
        <w:ind w:left="6135" w:hanging="202"/>
      </w:pPr>
    </w:lvl>
    <w:lvl w:ilvl="7">
      <w:numFmt w:val="bullet"/>
      <w:lvlText w:val="•"/>
      <w:lvlJc w:val="left"/>
      <w:pPr>
        <w:ind w:left="7078" w:hanging="202"/>
      </w:pPr>
    </w:lvl>
    <w:lvl w:ilvl="8">
      <w:numFmt w:val="bullet"/>
      <w:lvlText w:val="•"/>
      <w:lvlJc w:val="left"/>
      <w:pPr>
        <w:ind w:left="8021" w:hanging="202"/>
      </w:pPr>
    </w:lvl>
  </w:abstractNum>
  <w:abstractNum w:abstractNumId="6" w15:restartNumberingAfterBreak="0">
    <w:nsid w:val="00000408"/>
    <w:multiLevelType w:val="multilevel"/>
    <w:tmpl w:val="0000088B"/>
    <w:lvl w:ilvl="0">
      <w:start w:val="13"/>
      <w:numFmt w:val="decimal"/>
      <w:lvlText w:val="%1"/>
      <w:lvlJc w:val="left"/>
      <w:pPr>
        <w:ind w:left="769" w:hanging="657"/>
      </w:pPr>
      <w:rPr>
        <w:rFonts w:cs="Times New Roman"/>
      </w:rPr>
    </w:lvl>
    <w:lvl w:ilvl="1">
      <w:numFmt w:val="decimalZero"/>
      <w:lvlText w:val="%1.%2"/>
      <w:lvlJc w:val="left"/>
      <w:pPr>
        <w:ind w:left="769" w:hanging="657"/>
      </w:pPr>
      <w:rPr>
        <w:rFonts w:ascii="Calibri" w:hAnsi="Calibri" w:cs="Calibri"/>
        <w:b w:val="0"/>
        <w:bCs w:val="0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833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854" w:hanging="360"/>
      </w:pPr>
    </w:lvl>
    <w:lvl w:ilvl="4">
      <w:numFmt w:val="bullet"/>
      <w:lvlText w:val="•"/>
      <w:lvlJc w:val="left"/>
      <w:pPr>
        <w:ind w:left="3862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884" w:hanging="360"/>
      </w:pPr>
    </w:lvl>
    <w:lvl w:ilvl="8">
      <w:numFmt w:val="bullet"/>
      <w:lvlText w:val="•"/>
      <w:lvlJc w:val="left"/>
      <w:pPr>
        <w:ind w:left="789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12" w:hanging="175"/>
      </w:pPr>
      <w:rPr>
        <w:rFonts w:ascii="Calibri" w:hAnsi="Calibri"/>
        <w:b/>
        <w:w w:val="100"/>
        <w:sz w:val="22"/>
      </w:rPr>
    </w:lvl>
    <w:lvl w:ilvl="1">
      <w:numFmt w:val="bullet"/>
      <w:lvlText w:val="•"/>
      <w:lvlJc w:val="left"/>
      <w:pPr>
        <w:ind w:left="1098" w:hanging="175"/>
      </w:pPr>
    </w:lvl>
    <w:lvl w:ilvl="2">
      <w:numFmt w:val="bullet"/>
      <w:lvlText w:val="•"/>
      <w:lvlJc w:val="left"/>
      <w:pPr>
        <w:ind w:left="2077" w:hanging="175"/>
      </w:pPr>
    </w:lvl>
    <w:lvl w:ilvl="3">
      <w:numFmt w:val="bullet"/>
      <w:lvlText w:val="•"/>
      <w:lvlJc w:val="left"/>
      <w:pPr>
        <w:ind w:left="3055" w:hanging="175"/>
      </w:pPr>
    </w:lvl>
    <w:lvl w:ilvl="4">
      <w:numFmt w:val="bullet"/>
      <w:lvlText w:val="•"/>
      <w:lvlJc w:val="left"/>
      <w:pPr>
        <w:ind w:left="4034" w:hanging="175"/>
      </w:pPr>
    </w:lvl>
    <w:lvl w:ilvl="5">
      <w:numFmt w:val="bullet"/>
      <w:lvlText w:val="•"/>
      <w:lvlJc w:val="left"/>
      <w:pPr>
        <w:ind w:left="5013" w:hanging="175"/>
      </w:pPr>
    </w:lvl>
    <w:lvl w:ilvl="6">
      <w:numFmt w:val="bullet"/>
      <w:lvlText w:val="•"/>
      <w:lvlJc w:val="left"/>
      <w:pPr>
        <w:ind w:left="5991" w:hanging="175"/>
      </w:pPr>
    </w:lvl>
    <w:lvl w:ilvl="7">
      <w:numFmt w:val="bullet"/>
      <w:lvlText w:val="•"/>
      <w:lvlJc w:val="left"/>
      <w:pPr>
        <w:ind w:left="6970" w:hanging="175"/>
      </w:pPr>
    </w:lvl>
    <w:lvl w:ilvl="8">
      <w:numFmt w:val="bullet"/>
      <w:lvlText w:val="•"/>
      <w:lvlJc w:val="left"/>
      <w:pPr>
        <w:ind w:left="7949" w:hanging="17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112" w:hanging="21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098" w:hanging="212"/>
      </w:pPr>
    </w:lvl>
    <w:lvl w:ilvl="2">
      <w:numFmt w:val="bullet"/>
      <w:lvlText w:val="•"/>
      <w:lvlJc w:val="left"/>
      <w:pPr>
        <w:ind w:left="2077" w:hanging="212"/>
      </w:pPr>
    </w:lvl>
    <w:lvl w:ilvl="3">
      <w:numFmt w:val="bullet"/>
      <w:lvlText w:val="•"/>
      <w:lvlJc w:val="left"/>
      <w:pPr>
        <w:ind w:left="3055" w:hanging="212"/>
      </w:pPr>
    </w:lvl>
    <w:lvl w:ilvl="4">
      <w:numFmt w:val="bullet"/>
      <w:lvlText w:val="•"/>
      <w:lvlJc w:val="left"/>
      <w:pPr>
        <w:ind w:left="4034" w:hanging="212"/>
      </w:pPr>
    </w:lvl>
    <w:lvl w:ilvl="5">
      <w:numFmt w:val="bullet"/>
      <w:lvlText w:val="•"/>
      <w:lvlJc w:val="left"/>
      <w:pPr>
        <w:ind w:left="5013" w:hanging="212"/>
      </w:pPr>
    </w:lvl>
    <w:lvl w:ilvl="6">
      <w:numFmt w:val="bullet"/>
      <w:lvlText w:val="•"/>
      <w:lvlJc w:val="left"/>
      <w:pPr>
        <w:ind w:left="5991" w:hanging="212"/>
      </w:pPr>
    </w:lvl>
    <w:lvl w:ilvl="7">
      <w:numFmt w:val="bullet"/>
      <w:lvlText w:val="•"/>
      <w:lvlJc w:val="left"/>
      <w:pPr>
        <w:ind w:left="6970" w:hanging="212"/>
      </w:pPr>
    </w:lvl>
    <w:lvl w:ilvl="8">
      <w:numFmt w:val="bullet"/>
      <w:lvlText w:val="•"/>
      <w:lvlJc w:val="left"/>
      <w:pPr>
        <w:ind w:left="7949" w:hanging="21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3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53" w:hanging="360"/>
      </w:pPr>
    </w:lvl>
    <w:lvl w:ilvl="3">
      <w:numFmt w:val="bullet"/>
      <w:lvlText w:val="•"/>
      <w:lvlJc w:val="left"/>
      <w:pPr>
        <w:ind w:left="3559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8093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38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31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15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607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BF"/>
    <w:rsid w:val="000F2446"/>
    <w:rsid w:val="003A7EC1"/>
    <w:rsid w:val="004E7D79"/>
    <w:rsid w:val="006150F1"/>
    <w:rsid w:val="00646BE2"/>
    <w:rsid w:val="007045BF"/>
    <w:rsid w:val="00705127"/>
    <w:rsid w:val="008709E7"/>
    <w:rsid w:val="008B269A"/>
    <w:rsid w:val="008F596B"/>
    <w:rsid w:val="00950939"/>
    <w:rsid w:val="00956DDE"/>
    <w:rsid w:val="00BA72F5"/>
    <w:rsid w:val="00CA1ACB"/>
    <w:rsid w:val="00D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96F3E"/>
  <w14:defaultImageDpi w14:val="0"/>
  <w15:docId w15:val="{2ACD1A10-D605-4554-ABFE-A483078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44"/>
      <w:ind w:left="2037" w:right="207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line="293" w:lineRule="exact"/>
      <w:ind w:left="11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0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4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45B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04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45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ncer.gov/publications/dictionaries/cancer-terms/def/biomark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03ac5bc8-a729-4fd2-9278-917130bed417" value=""/>
</sisl>
</file>

<file path=customXml/itemProps1.xml><?xml version="1.0" encoding="utf-8"?>
<ds:datastoreItem xmlns:ds="http://schemas.openxmlformats.org/officeDocument/2006/customXml" ds:itemID="{6BCD122F-6CCA-408D-A062-1667C6B138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nicastro</dc:creator>
  <cp:keywords/>
  <dc:description/>
  <cp:lastModifiedBy>Paolo Cabra - Intermedia</cp:lastModifiedBy>
  <cp:revision>6</cp:revision>
  <dcterms:created xsi:type="dcterms:W3CDTF">2019-12-12T11:24:00Z</dcterms:created>
  <dcterms:modified xsi:type="dcterms:W3CDTF">2019-12-12T12:16:00Z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docIndexRef">
    <vt:lpwstr>5234d4b7-25f1-47ef-8232-c338c35959ad</vt:lpwstr>
  </property>
  <property fmtid="{D5CDD505-2E9C-101B-9397-08002B2CF9AE}" pid="4" name="bjSaver">
    <vt:lpwstr>LwDemf85Soj+U7bf0EXAFYb27qADOdre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uid="03ac5bc8-a729-4fd2-9278-917130bed417" value="" /&gt;&lt;/sisl&gt;</vt:lpwstr>
  </property>
  <property fmtid="{D5CDD505-2E9C-101B-9397-08002B2CF9AE}" pid="7" name="bjDocumentSecurityLabel">
    <vt:lpwstr>Non Classificato-Not Classified</vt:lpwstr>
  </property>
</Properties>
</file>