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0C" w:rsidRDefault="002D610C" w:rsidP="00FE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 PROFILO DI SALUTE E DI RISCHIO </w:t>
      </w:r>
    </w:p>
    <w:p w:rsidR="00DE200B" w:rsidRDefault="002D610C" w:rsidP="00FE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DELLE PERSONE CON DIAGNOSI DI TUMORE</w:t>
      </w:r>
    </w:p>
    <w:p w:rsidR="005A6214" w:rsidRDefault="005A6214" w:rsidP="00FE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14" w:rsidRDefault="005A6214" w:rsidP="00FE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14" w:rsidRPr="005A6214" w:rsidRDefault="005A6214" w:rsidP="005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A6214">
        <w:rPr>
          <w:rFonts w:ascii="Times New Roman" w:eastAsia="MinionPro-Regular" w:hAnsi="Times New Roman" w:cs="Times New Roman"/>
          <w:sz w:val="24"/>
          <w:szCs w:val="24"/>
        </w:rPr>
        <w:t>Nel quinquennio 2012-2016 sono state raccolte informazioni su un campione, rappresentativo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per genere ed età, di oltre 184mila persone di 18-69 anni residenti in Italia; di questi 6.867 hanno riferito di aver ricevuto una diagnosi di tumore, pari ad una prevalenza media annua nella popolazione generale di 18-69enni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del 3,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 xml:space="preserve">5%, che si stima coinvolga circa 1.453.000 </w:t>
      </w:r>
      <w:r w:rsidR="002860FB">
        <w:rPr>
          <w:rFonts w:ascii="Times New Roman" w:eastAsia="MinionPro-Regular" w:hAnsi="Times New Roman" w:cs="Times New Roman"/>
          <w:sz w:val="24"/>
          <w:szCs w:val="24"/>
        </w:rPr>
        <w:t xml:space="preserve">persone fra 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18 e 69 anni.</w:t>
      </w:r>
    </w:p>
    <w:p w:rsidR="005A6214" w:rsidRDefault="005A6214" w:rsidP="005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A6214">
        <w:rPr>
          <w:rFonts w:ascii="Times New Roman" w:eastAsia="MinionPro-Regular" w:hAnsi="Times New Roman" w:cs="Times New Roman"/>
          <w:sz w:val="24"/>
          <w:szCs w:val="24"/>
        </w:rPr>
        <w:t>Nel campione intervistato da PASSI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562764">
        <w:rPr>
          <w:rFonts w:ascii="Times New Roman" w:hAnsi="Times New Roman" w:cs="Times New Roman"/>
          <w:sz w:val="24"/>
          <w:szCs w:val="24"/>
        </w:rPr>
        <w:t>(</w:t>
      </w:r>
      <w:r w:rsidRPr="00562764">
        <w:rPr>
          <w:rFonts w:ascii="Times New Roman" w:hAnsi="Times New Roman" w:cs="Times New Roman"/>
          <w:sz w:val="24"/>
          <w:szCs w:val="24"/>
          <w:shd w:val="clear" w:color="auto" w:fill="FFFFFF"/>
        </w:rPr>
        <w:t>Progressi delle Aziende Sanitarie per la Salute in Italia)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 xml:space="preserve">, la quota di persone che riferisce una diagnosi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di tumore è 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maggiore fra le donne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(4,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 xml:space="preserve">7%), cresce al crescere dell’età dell’intervistato e </w:t>
      </w:r>
      <w:r>
        <w:rPr>
          <w:rFonts w:ascii="Times New Roman" w:eastAsia="MinionPro-Regular" w:hAnsi="Times New Roman" w:cs="Times New Roman"/>
          <w:sz w:val="24"/>
          <w:szCs w:val="24"/>
        </w:rPr>
        <w:t>raggiunge il 6,6% fra i 50-69enni, è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 xml:space="preserve"> maggiore fra i cittadin</w:t>
      </w:r>
      <w:r>
        <w:rPr>
          <w:rFonts w:ascii="Times New Roman" w:eastAsia="MinionPro-Regular" w:hAnsi="Times New Roman" w:cs="Times New Roman"/>
          <w:sz w:val="24"/>
          <w:szCs w:val="24"/>
        </w:rPr>
        <w:t>i italiani (3,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 xml:space="preserve">6%) rispetto agli </w:t>
      </w:r>
      <w:r>
        <w:rPr>
          <w:rFonts w:ascii="Times New Roman" w:eastAsia="MinionPro-Regular" w:hAnsi="Times New Roman" w:cs="Times New Roman"/>
          <w:sz w:val="24"/>
          <w:szCs w:val="24"/>
        </w:rPr>
        <w:t>stranieri (1,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7%), fra i resi</w:t>
      </w:r>
      <w:r w:rsidR="002B2A67">
        <w:rPr>
          <w:rFonts w:ascii="Times New Roman" w:eastAsia="MinionPro-Regular" w:hAnsi="Times New Roman" w:cs="Times New Roman"/>
          <w:sz w:val="24"/>
          <w:szCs w:val="24"/>
        </w:rPr>
        <w:t>denti nelle R</w:t>
      </w:r>
      <w:r>
        <w:rPr>
          <w:rFonts w:ascii="Times New Roman" w:eastAsia="MinionPro-Regular" w:hAnsi="Times New Roman" w:cs="Times New Roman"/>
          <w:sz w:val="24"/>
          <w:szCs w:val="24"/>
        </w:rPr>
        <w:t>egioni del Nord (4,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1</w:t>
      </w:r>
      <w:r>
        <w:rPr>
          <w:rFonts w:ascii="Times New Roman" w:eastAsia="MinionPro-Regular" w:hAnsi="Times New Roman" w:cs="Times New Roman"/>
          <w:sz w:val="24"/>
          <w:szCs w:val="24"/>
        </w:rPr>
        <w:t>%) e del Centro (3,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9%) rispetto ai residenti n</w:t>
      </w:r>
      <w:r>
        <w:rPr>
          <w:rFonts w:ascii="Times New Roman" w:eastAsia="MinionPro-Regular" w:hAnsi="Times New Roman" w:cs="Times New Roman"/>
          <w:sz w:val="24"/>
          <w:szCs w:val="24"/>
        </w:rPr>
        <w:t>el Sud e nelle Isole (2,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7%). Risulta maggiore fra le persone che riferiscono di avere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molte difficoltà economiche (4,</w:t>
      </w:r>
      <w:r w:rsidRPr="005A6214">
        <w:rPr>
          <w:rFonts w:ascii="Times New Roman" w:eastAsia="MinionPro-Regular" w:hAnsi="Times New Roman" w:cs="Times New Roman"/>
          <w:sz w:val="24"/>
          <w:szCs w:val="24"/>
        </w:rPr>
        <w:t>2%) rispetto agli altri e fra le persone con più basso titolo di studio. Un’analisi multivariata conferma come queste differenze siano statisticamente significative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B23CE4" w:rsidRDefault="00B23CE4" w:rsidP="00B23CE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6"/>
          <w:szCs w:val="26"/>
        </w:rPr>
      </w:pPr>
    </w:p>
    <w:p w:rsidR="009B08F7" w:rsidRDefault="009B08F7" w:rsidP="00B2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08F7" w:rsidRPr="009B08F7" w:rsidRDefault="00B23CE4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Profilo di rischio, salute percepita e </w:t>
      </w:r>
      <w:r w:rsidRPr="00B23CE4">
        <w:rPr>
          <w:rFonts w:ascii="Times New Roman" w:hAnsi="Times New Roman" w:cs="Times New Roman"/>
          <w:b/>
          <w:i/>
          <w:sz w:val="24"/>
          <w:szCs w:val="24"/>
        </w:rPr>
        <w:t>qualità della vita delle persone con diagnosi di tumore: analisi dei dati PASSI</w:t>
      </w:r>
    </w:p>
    <w:p w:rsidR="003876B5" w:rsidRPr="003876B5" w:rsidRDefault="003876B5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876B5">
        <w:rPr>
          <w:rFonts w:ascii="Times New Roman" w:eastAsia="MinionPro-Regular" w:hAnsi="Times New Roman" w:cs="Times New Roman"/>
          <w:sz w:val="24"/>
          <w:szCs w:val="24"/>
        </w:rPr>
        <w:t>Nel campione intervistato, le persone con tumore hanno alte prevalenze di fattori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di rischio o aggravanti della patologia legati a abitudini o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stili di vita non salutari, mai 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abbandonati, talvolta persino più elevate delle persone libere dal tumore. </w:t>
      </w:r>
    </w:p>
    <w:p w:rsidR="003876B5" w:rsidRDefault="003876B5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876B5" w:rsidRPr="003876B5" w:rsidRDefault="003876B5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876B5">
        <w:rPr>
          <w:rFonts w:ascii="Times New Roman" w:eastAsia="MinionPro-Regular" w:hAnsi="Times New Roman" w:cs="Times New Roman"/>
          <w:b/>
          <w:sz w:val="24"/>
          <w:szCs w:val="24"/>
        </w:rPr>
        <w:t xml:space="preserve">Fra le persone con tumore è alta la quota di ex fumatori (28% vs 18%), ma resta comunque elevata la quota di fumatori abituali (20%); l’11% </w:t>
      </w:r>
      <w:r w:rsidR="00591956">
        <w:rPr>
          <w:rFonts w:ascii="Times New Roman" w:eastAsia="MinionPro-Regular" w:hAnsi="Times New Roman" w:cs="Times New Roman"/>
          <w:b/>
          <w:sz w:val="24"/>
          <w:szCs w:val="24"/>
        </w:rPr>
        <w:t>fa un consumo di alc</w:t>
      </w:r>
      <w:r w:rsidRPr="003876B5">
        <w:rPr>
          <w:rFonts w:ascii="Times New Roman" w:eastAsia="MinionPro-Regular" w:hAnsi="Times New Roman" w:cs="Times New Roman"/>
          <w:b/>
          <w:sz w:val="24"/>
          <w:szCs w:val="24"/>
        </w:rPr>
        <w:t>ol rischioso per la salute (vs 17% nella popolazione libera dal tumore)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, in particolare come </w:t>
      </w:r>
      <w:proofErr w:type="spellStart"/>
      <w:r w:rsidRPr="003876B5">
        <w:rPr>
          <w:rFonts w:ascii="Times New Roman" w:eastAsia="MinionPro-Regular" w:hAnsi="Times New Roman" w:cs="Times New Roman"/>
          <w:i/>
          <w:iCs/>
          <w:sz w:val="24"/>
          <w:szCs w:val="24"/>
        </w:rPr>
        <w:t>binge</w:t>
      </w:r>
      <w:proofErr w:type="spellEnd"/>
      <w:r w:rsidRPr="003876B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76B5">
        <w:rPr>
          <w:rFonts w:ascii="Times New Roman" w:eastAsia="MinionPro-Regular" w:hAnsi="Times New Roman" w:cs="Times New Roman"/>
          <w:i/>
          <w:iCs/>
          <w:sz w:val="24"/>
          <w:szCs w:val="24"/>
        </w:rPr>
        <w:t>drinking</w:t>
      </w:r>
      <w:proofErr w:type="spellEnd"/>
      <w:r w:rsidRPr="003876B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(6%) e 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>come uso abituale elevato (5%), abitudine quest’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ultima persino più frequente che nella 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>popolazione libera da tumore e presumibilmente più fortemente correlata all’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insorgenza </w:t>
      </w:r>
      <w:r w:rsidR="00591956">
        <w:rPr>
          <w:rFonts w:ascii="Times New Roman" w:eastAsia="MinionPro-Regular" w:hAnsi="Times New Roman" w:cs="Times New Roman"/>
          <w:sz w:val="24"/>
          <w:szCs w:val="24"/>
        </w:rPr>
        <w:t>di tumori alc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ol-correlati. </w:t>
      </w:r>
    </w:p>
    <w:p w:rsidR="003876B5" w:rsidRDefault="003876B5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876B5" w:rsidRPr="003876B5" w:rsidRDefault="003876B5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876B5">
        <w:rPr>
          <w:rFonts w:ascii="Times New Roman" w:eastAsia="MinionPro-Regular" w:hAnsi="Times New Roman" w:cs="Times New Roman"/>
          <w:b/>
          <w:sz w:val="24"/>
          <w:szCs w:val="24"/>
        </w:rPr>
        <w:t>Significativamente alta la quota di persone che non praticano alcuna attività fisica, neppure al lavoro (38% vs 32%)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Pr="002F3705">
        <w:rPr>
          <w:rFonts w:ascii="Times New Roman" w:eastAsia="MinionPro-Regular" w:hAnsi="Times New Roman" w:cs="Times New Roman"/>
          <w:b/>
          <w:sz w:val="24"/>
          <w:szCs w:val="24"/>
        </w:rPr>
        <w:t>e relativamente bassa la quota (14%) di persone che consuma più di 5 porzioni di frutta e verdura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, come raccomandato 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>per una corretta e sana alimentazione.</w:t>
      </w:r>
    </w:p>
    <w:p w:rsidR="003876B5" w:rsidRDefault="003876B5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876B5" w:rsidRDefault="003876B5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876B5">
        <w:rPr>
          <w:rFonts w:ascii="Times New Roman" w:eastAsia="MinionPro-Regular" w:hAnsi="Times New Roman" w:cs="Times New Roman"/>
          <w:sz w:val="24"/>
          <w:szCs w:val="24"/>
        </w:rPr>
        <w:t>Particolarmente elevata, e significativamente mag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giore rispetto alla popolazione </w:t>
      </w:r>
      <w:r w:rsidR="00FD7768">
        <w:rPr>
          <w:rFonts w:ascii="Times New Roman" w:eastAsia="MinionPro-Regular" w:hAnsi="Times New Roman" w:cs="Times New Roman"/>
          <w:sz w:val="24"/>
          <w:szCs w:val="24"/>
        </w:rPr>
        <w:t>libera da tumore, è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 la prevalenza dei fattori di rischio cardiovascolari, quali obesità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>(15% vs 10%), diabete (10% vs</w:t>
      </w:r>
      <w:r w:rsidR="006F14C8">
        <w:rPr>
          <w:rFonts w:ascii="Times New Roman" w:eastAsia="MinionPro-Regular" w:hAnsi="Times New Roman" w:cs="Times New Roman"/>
          <w:sz w:val="24"/>
          <w:szCs w:val="24"/>
        </w:rPr>
        <w:t xml:space="preserve"> 4%), ipertensione (35% vs 19%)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 e ipercolesterolemia </w:t>
      </w:r>
      <w:r>
        <w:rPr>
          <w:rFonts w:ascii="Times New Roman" w:eastAsia="MinionPro-Regular" w:hAnsi="Times New Roman" w:cs="Times New Roman"/>
          <w:sz w:val="24"/>
          <w:szCs w:val="24"/>
        </w:rPr>
        <w:t>(34% vs 23%), ma non è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 xml:space="preserve"> noto se vi sia una correlazione tra questi fattori di rischio e i trattamenti effettuati o se questi fattori siano preesistenti all’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insorgenza della 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>patologia oncologica</w:t>
      </w:r>
      <w:r w:rsidR="009B08F7">
        <w:rPr>
          <w:rFonts w:ascii="Times New Roman" w:eastAsia="MinionPro-Regular" w:hAnsi="Times New Roman" w:cs="Times New Roman"/>
          <w:sz w:val="24"/>
          <w:szCs w:val="24"/>
        </w:rPr>
        <w:t xml:space="preserve"> (Figura 1)</w:t>
      </w:r>
      <w:r w:rsidRPr="003876B5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9B08F7" w:rsidRDefault="009B08F7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B08F7" w:rsidRPr="003876B5" w:rsidRDefault="009B08F7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23422" w:rsidRDefault="009B08F7" w:rsidP="003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15050" cy="32461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F7" w:rsidRPr="009B08F7" w:rsidRDefault="007B1EAF" w:rsidP="009B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Figura</w:t>
      </w:r>
      <w:r w:rsidR="002B0D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8F7" w:rsidRPr="009B08F7">
        <w:rPr>
          <w:rFonts w:ascii="Times New Roman" w:hAnsi="Times New Roman" w:cs="Times New Roman"/>
          <w:b/>
          <w:sz w:val="20"/>
          <w:szCs w:val="20"/>
        </w:rPr>
        <w:t xml:space="preserve">1. I </w:t>
      </w:r>
      <w:r w:rsidR="009B08F7" w:rsidRPr="009B08F7">
        <w:rPr>
          <w:rFonts w:ascii="Times New Roman" w:hAnsi="Times New Roman" w:cs="Times New Roman"/>
          <w:b/>
          <w:bCs/>
          <w:sz w:val="20"/>
          <w:szCs w:val="20"/>
        </w:rPr>
        <w:t>fattori di rischio modificabili: un confronto fra persone con e senza diagnosi di tumore.</w:t>
      </w:r>
    </w:p>
    <w:p w:rsidR="009B08F7" w:rsidRDefault="009B08F7" w:rsidP="009B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8F7">
        <w:rPr>
          <w:rFonts w:ascii="Times New Roman" w:hAnsi="Times New Roman" w:cs="Times New Roman"/>
          <w:b/>
          <w:bCs/>
          <w:sz w:val="20"/>
          <w:szCs w:val="20"/>
        </w:rPr>
        <w:t>PASSI: 2012-2016 (n=6867). Prevalenze medie annuali e relativi Intervalli di Confidenza (IC95%)</w:t>
      </w:r>
    </w:p>
    <w:p w:rsidR="009B08F7" w:rsidRDefault="009B08F7" w:rsidP="009B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08F7" w:rsidRDefault="009B08F7" w:rsidP="009B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6238" w:rsidRDefault="002F3705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Il consiglio medico per il contrasto 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>ai comportamenti insalubri, così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 come l’offerta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attiva e personalizzata di interventi di prevenzione</w:t>
      </w:r>
      <w:r w:rsidR="00910219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 sono misure di provata efficacia. PASSI rileva sia l’attenzione e il consiglio offerto da 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un medico o operatore sanitario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su fumo, co</w:t>
      </w:r>
      <w:r w:rsidR="00910219">
        <w:rPr>
          <w:rFonts w:ascii="Times New Roman" w:eastAsia="MinionPro-Regular" w:hAnsi="Times New Roman" w:cs="Times New Roman"/>
          <w:sz w:val="24"/>
          <w:szCs w:val="24"/>
        </w:rPr>
        <w:t>nsumo di alcol, attività fisica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 ed eccesso 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ponderale dei propri assistiti,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attraverso quanto riportano gli intervistati che si siano rivo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lti ad un medico nei 12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mesi precedenti l’intervista, sia la partecipazione all’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>ultima campagna vaccinale con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tro l’infl</w:t>
      </w:r>
      <w:r w:rsidR="002331D5">
        <w:rPr>
          <w:rFonts w:ascii="Times New Roman" w:eastAsia="MinionPro-Regular" w:hAnsi="Times New Roman" w:cs="Times New Roman"/>
          <w:sz w:val="24"/>
          <w:szCs w:val="24"/>
        </w:rPr>
        <w:t>uenza delle persone alle quali è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 raccomanda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ta (persone con meno di 65 anni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affette da tumori, malattie croniche respiratorie, ma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lattie cerebro-cardiovascolari,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diabete, insufficienza renale o cirrosi e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patiche e malattie del fegato). </w:t>
      </w:r>
    </w:p>
    <w:p w:rsidR="002F3705" w:rsidRPr="002F3705" w:rsidRDefault="002F3705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I dati PASSI mostrano che il </w:t>
      </w:r>
      <w:r w:rsidRPr="002331D5">
        <w:rPr>
          <w:rFonts w:ascii="Times New Roman" w:eastAsia="MinionPro-Regular" w:hAnsi="Times New Roman" w:cs="Times New Roman"/>
          <w:iCs/>
          <w:sz w:val="24"/>
          <w:szCs w:val="24"/>
        </w:rPr>
        <w:t>consiglio medico</w:t>
      </w:r>
      <w:r w:rsidRPr="002F370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>è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 ancor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a poco utilizzato e peraltro in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significativo calo nel tempo: fra la popolazione generale poco </w:t>
      </w:r>
      <w:r w:rsidR="00796238" w:rsidRPr="002F3705">
        <w:rPr>
          <w:rFonts w:ascii="Times New Roman" w:eastAsia="MinionPro-Regular" w:hAnsi="Times New Roman" w:cs="Times New Roman"/>
          <w:sz w:val="24"/>
          <w:szCs w:val="24"/>
        </w:rPr>
        <w:t>più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 del 50% dei fumatori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riferisce di aver ricevuto il consiglio di smettere di f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umare, ancor meno le persone in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eccesso ponderale riferiscono di ricevere il consiglio di perdere peso, non </w:t>
      </w:r>
      <w:r w:rsidR="00796238" w:rsidRPr="002F3705">
        <w:rPr>
          <w:rFonts w:ascii="Times New Roman" w:eastAsia="MinionPro-Regular" w:hAnsi="Times New Roman" w:cs="Times New Roman"/>
          <w:sz w:val="24"/>
          <w:szCs w:val="24"/>
        </w:rPr>
        <w:t>più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 del 30%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degli assistiti dichiara di ricevere il consiglio di praticare </w:t>
      </w:r>
      <w:r w:rsidR="00796238" w:rsidRPr="002F3705">
        <w:rPr>
          <w:rFonts w:ascii="Times New Roman" w:eastAsia="MinionPro-Regular" w:hAnsi="Times New Roman" w:cs="Times New Roman"/>
          <w:sz w:val="24"/>
          <w:szCs w:val="24"/>
        </w:rPr>
        <w:t>attività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 fisica e appena il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6% dei consumatori di alcol a maggior rischio (per consumo abituale elevato, o </w:t>
      </w:r>
      <w:proofErr w:type="spellStart"/>
      <w:r w:rsidRPr="002F3705">
        <w:rPr>
          <w:rFonts w:ascii="Times New Roman" w:eastAsia="MinionPro-Regular" w:hAnsi="Times New Roman" w:cs="Times New Roman"/>
          <w:i/>
          <w:iCs/>
          <w:sz w:val="24"/>
          <w:szCs w:val="24"/>
        </w:rPr>
        <w:t>binge</w:t>
      </w:r>
      <w:proofErr w:type="spellEnd"/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2F3705">
        <w:rPr>
          <w:rFonts w:ascii="Times New Roman" w:eastAsia="MinionPro-Regular" w:hAnsi="Times New Roman" w:cs="Times New Roman"/>
          <w:i/>
          <w:iCs/>
          <w:sz w:val="24"/>
          <w:szCs w:val="24"/>
        </w:rPr>
        <w:t>drinking</w:t>
      </w:r>
      <w:proofErr w:type="spellEnd"/>
      <w:r w:rsidRPr="002F370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,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o consumo prevalentemente fuori pasto) riferisc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e di aver ricevuto il consiglio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di bere meno.</w:t>
      </w:r>
    </w:p>
    <w:p w:rsidR="00796238" w:rsidRDefault="00796238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96238" w:rsidRDefault="002F3705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I dati mostrano che il </w:t>
      </w:r>
      <w:r w:rsidRPr="00796238">
        <w:rPr>
          <w:rFonts w:ascii="Times New Roman" w:eastAsia="MinionPro-Regular" w:hAnsi="Times New Roman" w:cs="Times New Roman"/>
          <w:iCs/>
          <w:sz w:val="24"/>
          <w:szCs w:val="24"/>
        </w:rPr>
        <w:t>consiglio medico</w:t>
      </w:r>
      <w:r w:rsidRPr="002F370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è utilizzato come strumento per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un contenimento del danno piuttosto che come misura di prevenzio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ne primaria, dal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momento che risulta principalmente rivolto a persone che hann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o comportamenti particolarmente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>a rischio (forti fumatori o forti consumat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ori di alcol o persone in forte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eccesso ponderale) o alle persone con patologie croniche. </w:t>
      </w:r>
    </w:p>
    <w:p w:rsidR="00796238" w:rsidRDefault="002F3705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F3705">
        <w:rPr>
          <w:rFonts w:ascii="Times New Roman" w:eastAsia="MinionPro-Regular" w:hAnsi="Times New Roman" w:cs="Times New Roman"/>
          <w:sz w:val="24"/>
          <w:szCs w:val="24"/>
        </w:rPr>
        <w:t>In un confront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o fra quanto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riferito da persone con una diagnosi di tumore infatti si 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osserva che, </w:t>
      </w:r>
      <w:r w:rsidR="00796238" w:rsidRPr="00796238">
        <w:rPr>
          <w:rFonts w:ascii="Times New Roman" w:eastAsia="MinionPro-Regular" w:hAnsi="Times New Roman" w:cs="Times New Roman"/>
          <w:b/>
          <w:sz w:val="24"/>
          <w:szCs w:val="24"/>
        </w:rPr>
        <w:t>rispetto a chi non ha il tumore, è</w:t>
      </w:r>
      <w:r w:rsidRP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 maggiore la quota di fumatori che ricev</w:t>
      </w:r>
      <w:r w:rsidR="00796238" w:rsidRP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ono il consiglio di smettere di </w:t>
      </w:r>
      <w:r w:rsidR="002331D5">
        <w:rPr>
          <w:rFonts w:ascii="Times New Roman" w:eastAsia="MinionPro-Regular" w:hAnsi="Times New Roman" w:cs="Times New Roman"/>
          <w:b/>
          <w:sz w:val="24"/>
          <w:szCs w:val="24"/>
        </w:rPr>
        <w:t>fumare (68</w:t>
      </w:r>
      <w:r w:rsidR="00D662F3">
        <w:rPr>
          <w:rFonts w:ascii="Times New Roman" w:eastAsia="MinionPro-Regular" w:hAnsi="Times New Roman" w:cs="Times New Roman"/>
          <w:b/>
          <w:sz w:val="24"/>
          <w:szCs w:val="24"/>
        </w:rPr>
        <w:t>% vs 51%)</w:t>
      </w:r>
      <w:r w:rsidRP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 di coloro che ricevono il consiglio di bere </w:t>
      </w:r>
      <w:r w:rsidR="00D662F3">
        <w:rPr>
          <w:rFonts w:ascii="Times New Roman" w:eastAsia="MinionPro-Regular" w:hAnsi="Times New Roman" w:cs="Times New Roman"/>
          <w:b/>
          <w:sz w:val="24"/>
          <w:szCs w:val="24"/>
        </w:rPr>
        <w:t>meno (9% vs 6%)</w:t>
      </w:r>
      <w:r w:rsidR="00796238" w:rsidRP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 o di </w:t>
      </w:r>
      <w:r w:rsidRPr="00796238">
        <w:rPr>
          <w:rFonts w:ascii="Times New Roman" w:eastAsia="MinionPro-Regular" w:hAnsi="Times New Roman" w:cs="Times New Roman"/>
          <w:b/>
          <w:sz w:val="24"/>
          <w:szCs w:val="24"/>
        </w:rPr>
        <w:t>praticare attività fisica (39% vs 30%) o di perdere peso (62% vs 49%).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F3705" w:rsidRDefault="002F3705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2F3705">
        <w:rPr>
          <w:rFonts w:ascii="Times New Roman" w:eastAsia="MinionPro-Regular" w:hAnsi="Times New Roman" w:cs="Times New Roman"/>
          <w:sz w:val="24"/>
          <w:szCs w:val="24"/>
        </w:rPr>
        <w:lastRenderedPageBreak/>
        <w:t>Presumibilmente anche in risposta ai consigli me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dici, fra le persone con tumore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sono </w:t>
      </w:r>
      <w:r w:rsidR="00796238" w:rsidRPr="002F3705">
        <w:rPr>
          <w:rFonts w:ascii="Times New Roman" w:eastAsia="MinionPro-Regular" w:hAnsi="Times New Roman" w:cs="Times New Roman"/>
          <w:sz w:val="24"/>
          <w:szCs w:val="24"/>
        </w:rPr>
        <w:t>più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 frequenti le azioni di contrasto ai fattori aggravanti, anche se resta ancor</w:t>
      </w:r>
      <w:r w:rsidR="00796238">
        <w:rPr>
          <w:rFonts w:ascii="Times New Roman" w:eastAsia="MinionPro-Regular" w:hAnsi="Times New Roman" w:cs="Times New Roman"/>
          <w:sz w:val="24"/>
          <w:szCs w:val="24"/>
        </w:rPr>
        <w:t xml:space="preserve">a </w:t>
      </w:r>
      <w:r w:rsidRPr="002F3705">
        <w:rPr>
          <w:rFonts w:ascii="Times New Roman" w:eastAsia="MinionPro-Regular" w:hAnsi="Times New Roman" w:cs="Times New Roman"/>
          <w:sz w:val="24"/>
          <w:szCs w:val="24"/>
        </w:rPr>
        <w:t xml:space="preserve">troppo bassa la quota di persone che tentano di smettere di fumare o che fanno una dieta per perdere peso: </w:t>
      </w:r>
      <w:r w:rsidRPr="00796238">
        <w:rPr>
          <w:rFonts w:ascii="Times New Roman" w:eastAsia="MinionPro-Regular" w:hAnsi="Times New Roman" w:cs="Times New Roman"/>
          <w:b/>
          <w:sz w:val="24"/>
          <w:szCs w:val="24"/>
        </w:rPr>
        <w:t>il 42% dei fumatori affetti da tum</w:t>
      </w:r>
      <w:r w:rsidR="00796238" w:rsidRP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ore sta tentando di smettere di </w:t>
      </w:r>
      <w:r w:rsidRPr="00796238">
        <w:rPr>
          <w:rFonts w:ascii="Times New Roman" w:eastAsia="MinionPro-Regular" w:hAnsi="Times New Roman" w:cs="Times New Roman"/>
          <w:b/>
          <w:sz w:val="24"/>
          <w:szCs w:val="24"/>
        </w:rPr>
        <w:t>fumare (vs 37% senza diagnosi di tumore) e il 30% delle persone in eccesso pondera</w:t>
      </w:r>
      <w:r w:rsidR="00796238" w:rsidRP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le </w:t>
      </w:r>
      <w:r w:rsidRPr="00796238">
        <w:rPr>
          <w:rFonts w:ascii="Times New Roman" w:eastAsia="MinionPro-Regular" w:hAnsi="Times New Roman" w:cs="Times New Roman"/>
          <w:b/>
          <w:sz w:val="24"/>
          <w:szCs w:val="24"/>
        </w:rPr>
        <w:t>che hanno avuto una diagnosi di tumore sta seguendo una dieta per perdere peso</w:t>
      </w:r>
      <w:r w:rsid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 (vs 24%</w:t>
      </w:r>
      <w:r w:rsidR="00796238" w:rsidRP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 senza diagnosi di tumore</w:t>
      </w:r>
      <w:r w:rsidR="00796238">
        <w:rPr>
          <w:rFonts w:ascii="Times New Roman" w:eastAsia="MinionPro-Regular" w:hAnsi="Times New Roman" w:cs="Times New Roman"/>
          <w:b/>
          <w:sz w:val="24"/>
          <w:szCs w:val="24"/>
        </w:rPr>
        <w:t xml:space="preserve">) </w:t>
      </w:r>
      <w:r w:rsidR="00796238" w:rsidRPr="00796238">
        <w:rPr>
          <w:rFonts w:ascii="Times New Roman" w:eastAsia="MinionPro-Regular" w:hAnsi="Times New Roman" w:cs="Times New Roman"/>
          <w:sz w:val="24"/>
          <w:szCs w:val="24"/>
        </w:rPr>
        <w:t>(Figura 2)</w:t>
      </w:r>
      <w:r w:rsidR="00796238">
        <w:rPr>
          <w:rFonts w:ascii="Times New Roman" w:eastAsia="MinionPro-Regular" w:hAnsi="Times New Roman" w:cs="Times New Roman"/>
          <w:b/>
          <w:sz w:val="24"/>
          <w:szCs w:val="24"/>
        </w:rPr>
        <w:t>.</w:t>
      </w:r>
    </w:p>
    <w:p w:rsidR="00796238" w:rsidRDefault="00796238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796238" w:rsidRDefault="00796238" w:rsidP="002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765" cy="46805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38" w:rsidRPr="00796238" w:rsidRDefault="007B1EA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MinionPro-Regular" w:hAnsi="Times New Roman" w:cs="Times New Roman"/>
          <w:b/>
          <w:sz w:val="20"/>
          <w:szCs w:val="20"/>
        </w:rPr>
        <w:t>Figura</w:t>
      </w:r>
      <w:r w:rsidR="002B0DED">
        <w:rPr>
          <w:rFonts w:ascii="Times New Roman" w:eastAsia="MinionPro-Regular" w:hAnsi="Times New Roman" w:cs="Times New Roman"/>
          <w:b/>
          <w:sz w:val="20"/>
          <w:szCs w:val="20"/>
        </w:rPr>
        <w:t xml:space="preserve"> </w:t>
      </w:r>
      <w:r w:rsidR="00796238" w:rsidRPr="00796238">
        <w:rPr>
          <w:rFonts w:ascii="Times New Roman" w:eastAsia="MinionPro-Regular" w:hAnsi="Times New Roman" w:cs="Times New Roman"/>
          <w:b/>
          <w:sz w:val="20"/>
          <w:szCs w:val="20"/>
        </w:rPr>
        <w:t xml:space="preserve">2. </w:t>
      </w:r>
      <w:r w:rsidR="00796238" w:rsidRPr="00796238">
        <w:rPr>
          <w:rFonts w:ascii="Times New Roman" w:hAnsi="Times New Roman" w:cs="Times New Roman"/>
          <w:b/>
          <w:bCs/>
          <w:sz w:val="20"/>
          <w:szCs w:val="20"/>
        </w:rPr>
        <w:t>Contrastare i fattori di rischio modificabili: un confronto fra persone con e senza diagnosi di tumore.</w:t>
      </w:r>
    </w:p>
    <w:p w:rsidR="007F700F" w:rsidRDefault="00796238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238">
        <w:rPr>
          <w:rFonts w:ascii="Times New Roman" w:hAnsi="Times New Roman" w:cs="Times New Roman"/>
          <w:b/>
          <w:bCs/>
          <w:sz w:val="20"/>
          <w:szCs w:val="20"/>
        </w:rPr>
        <w:t>PASSI: 2012-2016 (n=6867). Prevalenze medie annuali e relativi Intervalli di Confidenza (IC95%)</w:t>
      </w:r>
    </w:p>
    <w:p w:rsidR="007F700F" w:rsidRPr="00D76061" w:rsidRDefault="007F700F" w:rsidP="0085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6061">
        <w:rPr>
          <w:rFonts w:ascii="Times New Roman" w:hAnsi="Times New Roman" w:cs="Times New Roman"/>
          <w:sz w:val="18"/>
          <w:szCs w:val="18"/>
        </w:rPr>
        <w:t># per screening si intende la partecipazione agli screening organizzati offerti dalle ASL e qualunque test per la diagnosi precoce dei tumori svolto anche fuori i programmi di screening organizzati</w:t>
      </w:r>
    </w:p>
    <w:p w:rsidR="007F700F" w:rsidRPr="00D76061" w:rsidRDefault="007F700F" w:rsidP="0085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6061">
        <w:rPr>
          <w:rFonts w:ascii="Times New Roman" w:hAnsi="Times New Roman" w:cs="Times New Roman"/>
          <w:sz w:val="18"/>
          <w:szCs w:val="18"/>
        </w:rPr>
        <w:t>§ i dati si riferiscono al valore nazionale con l’esclusione del Piemonte che adotta programmi di screening del tumore del colon-retto non confrontabili con quelli del resto del Paese</w:t>
      </w:r>
    </w:p>
    <w:sectPr w:rsidR="007F700F" w:rsidRPr="00D76061" w:rsidSect="000C4D5F">
      <w:headerReference w:type="first" r:id="rId9"/>
      <w:pgSz w:w="11906" w:h="16838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B8" w:rsidRDefault="00070EB8" w:rsidP="000C4D5F">
      <w:pPr>
        <w:spacing w:after="0" w:line="240" w:lineRule="auto"/>
      </w:pPr>
      <w:r>
        <w:separator/>
      </w:r>
    </w:p>
  </w:endnote>
  <w:endnote w:type="continuationSeparator" w:id="0">
    <w:p w:rsidR="00070EB8" w:rsidRDefault="00070EB8" w:rsidP="000C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3" w:usb1="08070000" w:usb2="00000010" w:usb3="00000000" w:csb0="00020009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B8" w:rsidRDefault="00070EB8" w:rsidP="000C4D5F">
      <w:pPr>
        <w:spacing w:after="0" w:line="240" w:lineRule="auto"/>
      </w:pPr>
      <w:r>
        <w:separator/>
      </w:r>
    </w:p>
  </w:footnote>
  <w:footnote w:type="continuationSeparator" w:id="0">
    <w:p w:rsidR="00070EB8" w:rsidRDefault="00070EB8" w:rsidP="000C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8F" w:rsidRDefault="0027598F" w:rsidP="0027598F">
    <w:pPr>
      <w:pStyle w:val="Intestazione"/>
      <w:jc w:val="center"/>
    </w:pPr>
    <w:r>
      <w:rPr>
        <w:rFonts w:eastAsia="Calibri"/>
        <w:noProof/>
        <w:lang w:eastAsia="it-IT"/>
      </w:rPr>
      <w:drawing>
        <wp:inline distT="0" distB="0" distL="0" distR="0" wp14:anchorId="0C323094" wp14:editId="7C7E676B">
          <wp:extent cx="6115050" cy="1190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4"/>
    <w:rsid w:val="000247F3"/>
    <w:rsid w:val="00041CF2"/>
    <w:rsid w:val="00063A58"/>
    <w:rsid w:val="00070EB8"/>
    <w:rsid w:val="000C4D5F"/>
    <w:rsid w:val="000E500A"/>
    <w:rsid w:val="000E78D1"/>
    <w:rsid w:val="000F1FD0"/>
    <w:rsid w:val="00142E39"/>
    <w:rsid w:val="001A0520"/>
    <w:rsid w:val="001F5A17"/>
    <w:rsid w:val="00227787"/>
    <w:rsid w:val="002331D5"/>
    <w:rsid w:val="002356EA"/>
    <w:rsid w:val="00244262"/>
    <w:rsid w:val="00270359"/>
    <w:rsid w:val="0027598F"/>
    <w:rsid w:val="0027627D"/>
    <w:rsid w:val="002860FB"/>
    <w:rsid w:val="002901A3"/>
    <w:rsid w:val="00292093"/>
    <w:rsid w:val="002A0055"/>
    <w:rsid w:val="002A3C81"/>
    <w:rsid w:val="002B0DED"/>
    <w:rsid w:val="002B2A67"/>
    <w:rsid w:val="002B4EA7"/>
    <w:rsid w:val="002B5016"/>
    <w:rsid w:val="002D610C"/>
    <w:rsid w:val="002F2C04"/>
    <w:rsid w:val="002F3705"/>
    <w:rsid w:val="00313B70"/>
    <w:rsid w:val="00327331"/>
    <w:rsid w:val="00340808"/>
    <w:rsid w:val="00345421"/>
    <w:rsid w:val="00354C6A"/>
    <w:rsid w:val="003869ED"/>
    <w:rsid w:val="003876B5"/>
    <w:rsid w:val="003E39A4"/>
    <w:rsid w:val="00402F66"/>
    <w:rsid w:val="00420B03"/>
    <w:rsid w:val="00495265"/>
    <w:rsid w:val="004B21DE"/>
    <w:rsid w:val="004D2FF4"/>
    <w:rsid w:val="00536D2A"/>
    <w:rsid w:val="00551AB9"/>
    <w:rsid w:val="005552F2"/>
    <w:rsid w:val="00556013"/>
    <w:rsid w:val="0056430C"/>
    <w:rsid w:val="00591956"/>
    <w:rsid w:val="00593FA4"/>
    <w:rsid w:val="005A6214"/>
    <w:rsid w:val="005B14C4"/>
    <w:rsid w:val="005E295A"/>
    <w:rsid w:val="005E3A2B"/>
    <w:rsid w:val="006D5A0F"/>
    <w:rsid w:val="006F14C8"/>
    <w:rsid w:val="007154A6"/>
    <w:rsid w:val="00732D20"/>
    <w:rsid w:val="00765185"/>
    <w:rsid w:val="0077692C"/>
    <w:rsid w:val="007771E2"/>
    <w:rsid w:val="00796238"/>
    <w:rsid w:val="007A3FA6"/>
    <w:rsid w:val="007B1EAF"/>
    <w:rsid w:val="007C202E"/>
    <w:rsid w:val="007E0767"/>
    <w:rsid w:val="007F700F"/>
    <w:rsid w:val="0080161C"/>
    <w:rsid w:val="008226F6"/>
    <w:rsid w:val="00832F55"/>
    <w:rsid w:val="00840F61"/>
    <w:rsid w:val="0085036E"/>
    <w:rsid w:val="00851B65"/>
    <w:rsid w:val="008609D3"/>
    <w:rsid w:val="008620C8"/>
    <w:rsid w:val="008B41B9"/>
    <w:rsid w:val="00910219"/>
    <w:rsid w:val="009176E2"/>
    <w:rsid w:val="00923422"/>
    <w:rsid w:val="00983D57"/>
    <w:rsid w:val="00987839"/>
    <w:rsid w:val="009A6C90"/>
    <w:rsid w:val="009B08F7"/>
    <w:rsid w:val="009D37F2"/>
    <w:rsid w:val="009D6671"/>
    <w:rsid w:val="009E4A49"/>
    <w:rsid w:val="00A133F4"/>
    <w:rsid w:val="00A2446D"/>
    <w:rsid w:val="00A6052E"/>
    <w:rsid w:val="00A6562A"/>
    <w:rsid w:val="00A668C4"/>
    <w:rsid w:val="00A923AE"/>
    <w:rsid w:val="00AA4FDE"/>
    <w:rsid w:val="00AE69B3"/>
    <w:rsid w:val="00AF4B43"/>
    <w:rsid w:val="00AF7C63"/>
    <w:rsid w:val="00B21109"/>
    <w:rsid w:val="00B23CE4"/>
    <w:rsid w:val="00B30820"/>
    <w:rsid w:val="00B85354"/>
    <w:rsid w:val="00BA776B"/>
    <w:rsid w:val="00C16D38"/>
    <w:rsid w:val="00C207AE"/>
    <w:rsid w:val="00C518A1"/>
    <w:rsid w:val="00C8300B"/>
    <w:rsid w:val="00CD2C52"/>
    <w:rsid w:val="00CD3826"/>
    <w:rsid w:val="00D236C4"/>
    <w:rsid w:val="00D34AD5"/>
    <w:rsid w:val="00D50E18"/>
    <w:rsid w:val="00D53E29"/>
    <w:rsid w:val="00D562E5"/>
    <w:rsid w:val="00D662F3"/>
    <w:rsid w:val="00D75550"/>
    <w:rsid w:val="00D76061"/>
    <w:rsid w:val="00D875EA"/>
    <w:rsid w:val="00D8766E"/>
    <w:rsid w:val="00DC3DDE"/>
    <w:rsid w:val="00DC6F51"/>
    <w:rsid w:val="00DD7FE4"/>
    <w:rsid w:val="00DE200B"/>
    <w:rsid w:val="00E14AED"/>
    <w:rsid w:val="00E964E8"/>
    <w:rsid w:val="00E97109"/>
    <w:rsid w:val="00EC7A79"/>
    <w:rsid w:val="00ED1775"/>
    <w:rsid w:val="00ED243B"/>
    <w:rsid w:val="00F32716"/>
    <w:rsid w:val="00FC28D7"/>
    <w:rsid w:val="00FD15D2"/>
    <w:rsid w:val="00FD37B0"/>
    <w:rsid w:val="00FD7768"/>
    <w:rsid w:val="00FE2BBF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5F"/>
  </w:style>
  <w:style w:type="paragraph" w:styleId="Pidipagina">
    <w:name w:val="footer"/>
    <w:basedOn w:val="Normale"/>
    <w:link w:val="Pidipagina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5F"/>
  </w:style>
  <w:style w:type="paragraph" w:styleId="Pidipagina">
    <w:name w:val="footer"/>
    <w:basedOn w:val="Normale"/>
    <w:link w:val="Pidipagina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Intermedia</dc:creator>
  <cp:keywords/>
  <dc:description/>
  <cp:lastModifiedBy>Paolo</cp:lastModifiedBy>
  <cp:revision>69</cp:revision>
  <dcterms:created xsi:type="dcterms:W3CDTF">2017-09-14T08:57:00Z</dcterms:created>
  <dcterms:modified xsi:type="dcterms:W3CDTF">2018-09-25T09:17:00Z</dcterms:modified>
</cp:coreProperties>
</file>