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81921" w14:textId="77777777" w:rsidR="00FD4566" w:rsidRPr="00793F91" w:rsidRDefault="00D51724" w:rsidP="007A3967">
      <w:pPr>
        <w:rPr>
          <w:rFonts w:ascii="Trebuchet MS" w:hAnsi="Trebuchet MS" w:cs="Times New Roman"/>
          <w:i/>
          <w:sz w:val="22"/>
          <w:szCs w:val="22"/>
        </w:rPr>
      </w:pPr>
      <w:r w:rsidRPr="00793F91">
        <w:rPr>
          <w:rFonts w:ascii="Trebuchet MS" w:hAnsi="Trebuchet MS"/>
          <w:noProof/>
          <w:sz w:val="22"/>
          <w:szCs w:val="22"/>
        </w:rPr>
        <w:drawing>
          <wp:inline distT="0" distB="0" distL="0" distR="0" wp14:anchorId="34CD5246" wp14:editId="43DA2923">
            <wp:extent cx="2642738" cy="667512"/>
            <wp:effectExtent l="0" t="0" r="0" b="0"/>
            <wp:docPr id="5" name="Bristol Myers Squibb" descr="Bristol Myers Squibb">
              <a:extLst xmlns:a="http://schemas.openxmlformats.org/drawingml/2006/main">
                <a:ext uri="{FF2B5EF4-FFF2-40B4-BE49-F238E27FC236}">
                  <a16:creationId xmlns:a16="http://schemas.microsoft.com/office/drawing/2014/main" id="{B7697988-37C6-7C4A-AA57-C36971D11EE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istol Myers Squibb" descr="Bristol Myers Squibb">
                      <a:extLst>
                        <a:ext uri="{FF2B5EF4-FFF2-40B4-BE49-F238E27FC236}">
                          <a16:creationId xmlns:a16="http://schemas.microsoft.com/office/drawing/2014/main" id="{B7697988-37C6-7C4A-AA57-C36971D11EEC}"/>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black">
                    <a:xfrm>
                      <a:off x="0" y="0"/>
                      <a:ext cx="2642738" cy="667512"/>
                    </a:xfrm>
                    <a:prstGeom prst="rect">
                      <a:avLst/>
                    </a:prstGeom>
                    <a:noFill/>
                  </pic:spPr>
                </pic:pic>
              </a:graphicData>
            </a:graphic>
          </wp:inline>
        </w:drawing>
      </w:r>
    </w:p>
    <w:p w14:paraId="415E8BAD" w14:textId="0EE96876" w:rsidR="00B85040" w:rsidRPr="000742FE" w:rsidRDefault="00B85040" w:rsidP="00792EEB">
      <w:pPr>
        <w:jc w:val="center"/>
        <w:rPr>
          <w:rFonts w:ascii="Trebuchet MS" w:hAnsi="Trebuchet MS" w:cstheme="minorHAnsi"/>
          <w:b/>
          <w:lang w:val="it-IT"/>
        </w:rPr>
      </w:pPr>
      <w:r w:rsidRPr="000742FE">
        <w:rPr>
          <w:rFonts w:ascii="Trebuchet MS" w:hAnsi="Trebuchet MS" w:cstheme="minorHAnsi"/>
          <w:b/>
          <w:lang w:val="it-IT"/>
        </w:rPr>
        <w:t>COMUNICATO STAMPA</w:t>
      </w:r>
    </w:p>
    <w:p w14:paraId="0F27BADA" w14:textId="77777777" w:rsidR="00B85040" w:rsidRPr="000742FE" w:rsidRDefault="00B85040" w:rsidP="00792EEB">
      <w:pPr>
        <w:jc w:val="center"/>
        <w:rPr>
          <w:rFonts w:ascii="Trebuchet MS" w:hAnsi="Trebuchet MS" w:cstheme="minorHAnsi"/>
          <w:b/>
          <w:sz w:val="22"/>
          <w:szCs w:val="22"/>
          <w:lang w:val="it-IT"/>
        </w:rPr>
      </w:pPr>
    </w:p>
    <w:p w14:paraId="5208EB3E" w14:textId="2C098232" w:rsidR="00792EEB" w:rsidRPr="000742FE" w:rsidRDefault="0082325E" w:rsidP="00792EEB">
      <w:pPr>
        <w:jc w:val="center"/>
        <w:rPr>
          <w:rFonts w:ascii="Trebuchet MS" w:hAnsi="Trebuchet MS" w:cstheme="minorHAnsi"/>
          <w:b/>
          <w:lang w:val="it-IT"/>
        </w:rPr>
      </w:pPr>
      <w:r w:rsidRPr="000742FE">
        <w:rPr>
          <w:rFonts w:ascii="Trebuchet MS" w:hAnsi="Trebuchet MS" w:cstheme="minorHAnsi"/>
          <w:b/>
          <w:lang w:val="it-IT"/>
        </w:rPr>
        <w:t xml:space="preserve">NIVOLUMAB </w:t>
      </w:r>
      <w:r w:rsidR="00D45C03" w:rsidRPr="000742FE">
        <w:rPr>
          <w:rFonts w:ascii="Trebuchet MS" w:hAnsi="Trebuchet MS" w:cstheme="minorHAnsi"/>
          <w:b/>
          <w:lang w:val="it-IT"/>
        </w:rPr>
        <w:t xml:space="preserve">PIU’ </w:t>
      </w:r>
      <w:r w:rsidRPr="000742FE">
        <w:rPr>
          <w:rFonts w:ascii="Trebuchet MS" w:hAnsi="Trebuchet MS" w:cstheme="minorHAnsi"/>
          <w:b/>
          <w:lang w:val="it-IT"/>
        </w:rPr>
        <w:t xml:space="preserve">IPILIMUMAB IN </w:t>
      </w:r>
      <w:r w:rsidR="00793F91" w:rsidRPr="000742FE">
        <w:rPr>
          <w:rFonts w:ascii="Trebuchet MS" w:hAnsi="Trebuchet MS" w:cstheme="minorHAnsi"/>
          <w:b/>
          <w:lang w:val="it-IT"/>
        </w:rPr>
        <w:t xml:space="preserve">ASSOCIAZIONE </w:t>
      </w:r>
      <w:r w:rsidRPr="000742FE">
        <w:rPr>
          <w:rFonts w:ascii="Trebuchet MS" w:hAnsi="Trebuchet MS" w:cstheme="minorHAnsi"/>
          <w:b/>
          <w:lang w:val="it-IT"/>
        </w:rPr>
        <w:t>CON CICL</w:t>
      </w:r>
      <w:r w:rsidR="00D45C03" w:rsidRPr="000742FE">
        <w:rPr>
          <w:rFonts w:ascii="Trebuchet MS" w:hAnsi="Trebuchet MS" w:cstheme="minorHAnsi"/>
          <w:b/>
          <w:lang w:val="it-IT"/>
        </w:rPr>
        <w:t>I</w:t>
      </w:r>
      <w:r w:rsidRPr="000742FE">
        <w:rPr>
          <w:rFonts w:ascii="Trebuchet MS" w:hAnsi="Trebuchet MS" w:cstheme="minorHAnsi"/>
          <w:b/>
          <w:lang w:val="it-IT"/>
        </w:rPr>
        <w:t xml:space="preserve"> LIMITAT</w:t>
      </w:r>
      <w:r w:rsidR="00D45C03" w:rsidRPr="000742FE">
        <w:rPr>
          <w:rFonts w:ascii="Trebuchet MS" w:hAnsi="Trebuchet MS" w:cstheme="minorHAnsi"/>
          <w:b/>
          <w:lang w:val="it-IT"/>
        </w:rPr>
        <w:t>I</w:t>
      </w:r>
      <w:r w:rsidRPr="000742FE">
        <w:rPr>
          <w:rFonts w:ascii="Trebuchet MS" w:hAnsi="Trebuchet MS" w:cstheme="minorHAnsi"/>
          <w:b/>
          <w:lang w:val="it-IT"/>
        </w:rPr>
        <w:t xml:space="preserve"> DI CHEMIOTERAPIA</w:t>
      </w:r>
      <w:r w:rsidR="00494D0A" w:rsidRPr="000742FE">
        <w:rPr>
          <w:rFonts w:ascii="Trebuchet MS" w:hAnsi="Trebuchet MS" w:cstheme="minorHAnsi"/>
          <w:b/>
          <w:lang w:val="it-IT"/>
        </w:rPr>
        <w:t xml:space="preserve"> </w:t>
      </w:r>
      <w:r w:rsidR="006E574E" w:rsidRPr="000742FE">
        <w:rPr>
          <w:rFonts w:ascii="Trebuchet MS" w:hAnsi="Trebuchet MS" w:cstheme="minorHAnsi"/>
          <w:b/>
          <w:lang w:val="it-IT"/>
        </w:rPr>
        <w:t>NEI PAZIENTI CON TUMORE POLMONARE METASTATICO IN PRIMA LINEA MIGLIORA</w:t>
      </w:r>
      <w:r w:rsidR="00384C89" w:rsidRPr="000742FE">
        <w:rPr>
          <w:rFonts w:ascii="Trebuchet MS" w:hAnsi="Trebuchet MS" w:cstheme="minorHAnsi"/>
          <w:b/>
          <w:lang w:val="it-IT"/>
        </w:rPr>
        <w:t>NO</w:t>
      </w:r>
      <w:r w:rsidR="006E574E" w:rsidRPr="000742FE">
        <w:rPr>
          <w:rFonts w:ascii="Trebuchet MS" w:hAnsi="Trebuchet MS" w:cstheme="minorHAnsi"/>
          <w:b/>
          <w:lang w:val="it-IT"/>
        </w:rPr>
        <w:t xml:space="preserve"> LA SOPRAVVIVENZA RISPETTO ALLA SOLA CHEMIOTERAPIA NELLO STUDIO CHECKMATE 9LA</w:t>
      </w:r>
    </w:p>
    <w:p w14:paraId="3B3584B6" w14:textId="77777777" w:rsidR="001978A2" w:rsidRPr="000742FE" w:rsidRDefault="001978A2" w:rsidP="00F40EB0">
      <w:pPr>
        <w:rPr>
          <w:rFonts w:ascii="Trebuchet MS" w:hAnsi="Trebuchet MS" w:cstheme="minorHAnsi"/>
          <w:i/>
          <w:sz w:val="22"/>
          <w:szCs w:val="22"/>
          <w:lang w:val="it-IT"/>
        </w:rPr>
      </w:pPr>
    </w:p>
    <w:p w14:paraId="0F311622" w14:textId="3DC43CEA" w:rsidR="00792EEB" w:rsidRPr="000742FE" w:rsidRDefault="00D45C03" w:rsidP="008C3609">
      <w:pPr>
        <w:jc w:val="center"/>
        <w:rPr>
          <w:rFonts w:ascii="Trebuchet MS" w:hAnsi="Trebuchet MS" w:cstheme="minorHAnsi"/>
          <w:b/>
          <w:bCs/>
          <w:i/>
          <w:color w:val="000000" w:themeColor="text1"/>
          <w:sz w:val="22"/>
          <w:szCs w:val="22"/>
          <w:lang w:val="it-IT"/>
        </w:rPr>
      </w:pPr>
      <w:r w:rsidRPr="000742FE">
        <w:rPr>
          <w:rFonts w:ascii="Trebuchet MS" w:hAnsi="Trebuchet MS" w:cstheme="minorHAnsi"/>
          <w:b/>
          <w:bCs/>
          <w:i/>
          <w:color w:val="000000" w:themeColor="text1"/>
          <w:sz w:val="22"/>
          <w:szCs w:val="22"/>
          <w:lang w:val="it-IT"/>
        </w:rPr>
        <w:t xml:space="preserve">In una </w:t>
      </w:r>
      <w:r w:rsidR="00CF25D5" w:rsidRPr="000742FE">
        <w:rPr>
          <w:rFonts w:ascii="Trebuchet MS" w:hAnsi="Trebuchet MS" w:cstheme="minorHAnsi"/>
          <w:b/>
          <w:bCs/>
          <w:i/>
          <w:color w:val="000000" w:themeColor="text1"/>
          <w:sz w:val="22"/>
          <w:szCs w:val="22"/>
          <w:lang w:val="it-IT"/>
        </w:rPr>
        <w:t xml:space="preserve">analisi ad interim, </w:t>
      </w:r>
      <w:r w:rsidR="00B85040" w:rsidRPr="000742FE">
        <w:rPr>
          <w:rFonts w:ascii="Trebuchet MS" w:hAnsi="Trebuchet MS" w:cstheme="minorHAnsi"/>
          <w:b/>
          <w:bCs/>
          <w:i/>
          <w:color w:val="000000" w:themeColor="text1"/>
          <w:sz w:val="22"/>
          <w:szCs w:val="22"/>
          <w:lang w:val="it-IT"/>
        </w:rPr>
        <w:t>n</w:t>
      </w:r>
      <w:r w:rsidR="001248E0" w:rsidRPr="000742FE">
        <w:rPr>
          <w:rFonts w:ascii="Trebuchet MS" w:hAnsi="Trebuchet MS" w:cstheme="minorHAnsi"/>
          <w:b/>
          <w:bCs/>
          <w:i/>
          <w:color w:val="000000" w:themeColor="text1"/>
          <w:sz w:val="22"/>
          <w:szCs w:val="22"/>
          <w:lang w:val="it-IT"/>
        </w:rPr>
        <w:t xml:space="preserve">ivolumab </w:t>
      </w:r>
      <w:r w:rsidRPr="000742FE">
        <w:rPr>
          <w:rFonts w:ascii="Trebuchet MS" w:hAnsi="Trebuchet MS" w:cstheme="minorHAnsi"/>
          <w:b/>
          <w:bCs/>
          <w:i/>
          <w:color w:val="000000" w:themeColor="text1"/>
          <w:sz w:val="22"/>
          <w:szCs w:val="22"/>
          <w:lang w:val="it-IT"/>
        </w:rPr>
        <w:t xml:space="preserve">più </w:t>
      </w:r>
      <w:r w:rsidR="001248E0" w:rsidRPr="000742FE">
        <w:rPr>
          <w:rFonts w:ascii="Trebuchet MS" w:hAnsi="Trebuchet MS" w:cstheme="minorHAnsi"/>
          <w:b/>
          <w:bCs/>
          <w:i/>
          <w:color w:val="000000" w:themeColor="text1"/>
          <w:sz w:val="22"/>
          <w:szCs w:val="22"/>
          <w:lang w:val="it-IT"/>
        </w:rPr>
        <w:t xml:space="preserve">ipilimumab </w:t>
      </w:r>
      <w:r w:rsidR="005B3844" w:rsidRPr="000742FE">
        <w:rPr>
          <w:rFonts w:ascii="Trebuchet MS" w:hAnsi="Trebuchet MS" w:cstheme="minorHAnsi"/>
          <w:b/>
          <w:bCs/>
          <w:i/>
          <w:color w:val="000000" w:themeColor="text1"/>
          <w:sz w:val="22"/>
          <w:szCs w:val="22"/>
          <w:lang w:val="it-IT"/>
        </w:rPr>
        <w:t xml:space="preserve">somministrati </w:t>
      </w:r>
      <w:r w:rsidR="00536967" w:rsidRPr="000742FE">
        <w:rPr>
          <w:rFonts w:ascii="Trebuchet MS" w:hAnsi="Trebuchet MS" w:cstheme="minorHAnsi"/>
          <w:b/>
          <w:bCs/>
          <w:i/>
          <w:color w:val="000000" w:themeColor="text1"/>
          <w:sz w:val="22"/>
          <w:szCs w:val="22"/>
          <w:lang w:val="it-IT"/>
        </w:rPr>
        <w:t xml:space="preserve">in associazione </w:t>
      </w:r>
      <w:r w:rsidR="001248E0" w:rsidRPr="000742FE">
        <w:rPr>
          <w:rFonts w:ascii="Trebuchet MS" w:hAnsi="Trebuchet MS" w:cstheme="minorHAnsi"/>
          <w:b/>
          <w:bCs/>
          <w:i/>
          <w:color w:val="000000" w:themeColor="text1"/>
          <w:sz w:val="22"/>
          <w:szCs w:val="22"/>
          <w:lang w:val="it-IT"/>
        </w:rPr>
        <w:t>con due cicli di chemioterapia hanno dimostrato di prolungare la sopravvivenza globale</w:t>
      </w:r>
      <w:r w:rsidR="0082325E" w:rsidRPr="000742FE">
        <w:rPr>
          <w:rFonts w:ascii="Trebuchet MS" w:hAnsi="Trebuchet MS" w:cstheme="minorHAnsi"/>
          <w:b/>
          <w:bCs/>
          <w:i/>
          <w:color w:val="000000" w:themeColor="text1"/>
          <w:sz w:val="22"/>
          <w:szCs w:val="22"/>
          <w:lang w:val="it-IT"/>
        </w:rPr>
        <w:t xml:space="preserve"> nel tumore del polmone metastatico non a piccolo cellule</w:t>
      </w:r>
      <w:r w:rsidR="00792EEB" w:rsidRPr="000742FE">
        <w:rPr>
          <w:rFonts w:ascii="Trebuchet MS" w:hAnsi="Trebuchet MS" w:cstheme="minorHAnsi"/>
          <w:b/>
          <w:bCs/>
          <w:i/>
          <w:color w:val="000000" w:themeColor="text1"/>
          <w:sz w:val="22"/>
          <w:szCs w:val="22"/>
          <w:lang w:val="it-IT"/>
        </w:rPr>
        <w:t xml:space="preserve">, </w:t>
      </w:r>
      <w:r w:rsidR="001248E0" w:rsidRPr="000742FE">
        <w:rPr>
          <w:rFonts w:ascii="Trebuchet MS" w:hAnsi="Trebuchet MS" w:cstheme="minorHAnsi"/>
          <w:b/>
          <w:bCs/>
          <w:i/>
          <w:color w:val="000000" w:themeColor="text1"/>
          <w:sz w:val="22"/>
          <w:szCs w:val="22"/>
          <w:lang w:val="it-IT"/>
        </w:rPr>
        <w:t>con un miglioramento</w:t>
      </w:r>
      <w:r w:rsidR="00536967" w:rsidRPr="000742FE">
        <w:rPr>
          <w:rFonts w:ascii="Trebuchet MS" w:hAnsi="Trebuchet MS" w:cstheme="minorHAnsi"/>
          <w:b/>
          <w:bCs/>
          <w:i/>
          <w:color w:val="000000" w:themeColor="text1"/>
          <w:sz w:val="22"/>
          <w:szCs w:val="22"/>
          <w:lang w:val="it-IT"/>
        </w:rPr>
        <w:t xml:space="preserve"> duraturo</w:t>
      </w:r>
      <w:r w:rsidR="001248E0" w:rsidRPr="000742FE">
        <w:rPr>
          <w:rFonts w:ascii="Trebuchet MS" w:hAnsi="Trebuchet MS" w:cstheme="minorHAnsi"/>
          <w:b/>
          <w:bCs/>
          <w:i/>
          <w:color w:val="000000" w:themeColor="text1"/>
          <w:sz w:val="22"/>
          <w:szCs w:val="22"/>
          <w:lang w:val="it-IT"/>
        </w:rPr>
        <w:t xml:space="preserve"> </w:t>
      </w:r>
      <w:r w:rsidR="005B3844" w:rsidRPr="000742FE">
        <w:rPr>
          <w:rFonts w:ascii="Trebuchet MS" w:hAnsi="Trebuchet MS" w:cstheme="minorHAnsi"/>
          <w:b/>
          <w:bCs/>
          <w:i/>
          <w:color w:val="000000" w:themeColor="text1"/>
          <w:sz w:val="22"/>
          <w:szCs w:val="22"/>
          <w:lang w:val="it-IT"/>
        </w:rPr>
        <w:t>in un’analisi successiva con un follow-up minimo di 1 anno</w:t>
      </w:r>
    </w:p>
    <w:p w14:paraId="692ACBEC" w14:textId="77777777" w:rsidR="00792EEB" w:rsidRPr="000742FE" w:rsidRDefault="00792EEB" w:rsidP="00792EEB">
      <w:pPr>
        <w:jc w:val="center"/>
        <w:rPr>
          <w:rFonts w:ascii="Trebuchet MS" w:hAnsi="Trebuchet MS" w:cstheme="minorHAnsi"/>
          <w:b/>
          <w:bCs/>
          <w:i/>
          <w:sz w:val="22"/>
          <w:szCs w:val="22"/>
          <w:lang w:val="it-IT"/>
        </w:rPr>
      </w:pPr>
    </w:p>
    <w:p w14:paraId="29DE1811" w14:textId="3FEBCCEC" w:rsidR="00792EEB" w:rsidRPr="000742FE" w:rsidRDefault="005B3844" w:rsidP="00792EEB">
      <w:pPr>
        <w:jc w:val="center"/>
        <w:rPr>
          <w:rFonts w:ascii="Trebuchet MS" w:hAnsi="Trebuchet MS" w:cstheme="minorHAnsi"/>
          <w:b/>
          <w:bCs/>
          <w:i/>
          <w:sz w:val="22"/>
          <w:szCs w:val="22"/>
          <w:lang w:val="it-IT"/>
        </w:rPr>
      </w:pPr>
      <w:r w:rsidRPr="000742FE">
        <w:rPr>
          <w:rFonts w:ascii="Trebuchet MS" w:hAnsi="Trebuchet MS" w:cstheme="minorHAnsi"/>
          <w:b/>
          <w:bCs/>
          <w:i/>
          <w:sz w:val="22"/>
          <w:szCs w:val="22"/>
          <w:lang w:val="it-IT"/>
        </w:rPr>
        <w:t xml:space="preserve">Il beneficio clinico è risultato costante in tutte le </w:t>
      </w:r>
      <w:r w:rsidR="00F327C7" w:rsidRPr="000742FE">
        <w:rPr>
          <w:rFonts w:ascii="Trebuchet MS" w:hAnsi="Trebuchet MS" w:cstheme="minorHAnsi"/>
          <w:b/>
          <w:bCs/>
          <w:i/>
          <w:sz w:val="22"/>
          <w:szCs w:val="22"/>
          <w:lang w:val="it-IT"/>
        </w:rPr>
        <w:t xml:space="preserve">valutazioni </w:t>
      </w:r>
      <w:r w:rsidRPr="000742FE">
        <w:rPr>
          <w:rFonts w:ascii="Trebuchet MS" w:hAnsi="Trebuchet MS" w:cstheme="minorHAnsi"/>
          <w:b/>
          <w:bCs/>
          <w:i/>
          <w:sz w:val="22"/>
          <w:szCs w:val="22"/>
          <w:lang w:val="it-IT"/>
        </w:rPr>
        <w:t>di efficacia, indipendentemente dall’espressione</w:t>
      </w:r>
      <w:r w:rsidR="00494D0A" w:rsidRPr="000742FE">
        <w:rPr>
          <w:rFonts w:ascii="Trebuchet MS" w:hAnsi="Trebuchet MS" w:cstheme="minorHAnsi"/>
          <w:b/>
          <w:bCs/>
          <w:i/>
          <w:sz w:val="22"/>
          <w:szCs w:val="22"/>
          <w:lang w:val="it-IT"/>
        </w:rPr>
        <w:t xml:space="preserve"> di</w:t>
      </w:r>
      <w:r w:rsidRPr="000742FE">
        <w:rPr>
          <w:rFonts w:ascii="Trebuchet MS" w:hAnsi="Trebuchet MS" w:cstheme="minorHAnsi"/>
          <w:b/>
          <w:bCs/>
          <w:i/>
          <w:sz w:val="22"/>
          <w:szCs w:val="22"/>
          <w:lang w:val="it-IT"/>
        </w:rPr>
        <w:t xml:space="preserve"> </w:t>
      </w:r>
      <w:r w:rsidR="00792EEB" w:rsidRPr="000742FE">
        <w:rPr>
          <w:rFonts w:ascii="Trebuchet MS" w:hAnsi="Trebuchet MS" w:cstheme="minorHAnsi"/>
          <w:b/>
          <w:bCs/>
          <w:i/>
          <w:sz w:val="22"/>
          <w:szCs w:val="22"/>
          <w:lang w:val="it-IT"/>
        </w:rPr>
        <w:t xml:space="preserve">PD-L1 </w:t>
      </w:r>
      <w:r w:rsidRPr="000742FE">
        <w:rPr>
          <w:rFonts w:ascii="Trebuchet MS" w:hAnsi="Trebuchet MS" w:cstheme="minorHAnsi"/>
          <w:b/>
          <w:bCs/>
          <w:i/>
          <w:sz w:val="22"/>
          <w:szCs w:val="22"/>
          <w:lang w:val="it-IT"/>
        </w:rPr>
        <w:t>o dall’istologia del tumore</w:t>
      </w:r>
    </w:p>
    <w:p w14:paraId="484E1D44" w14:textId="77777777" w:rsidR="00792EEB" w:rsidRPr="000742FE" w:rsidRDefault="00792EEB" w:rsidP="00792EEB">
      <w:pPr>
        <w:jc w:val="center"/>
        <w:rPr>
          <w:rFonts w:ascii="Trebuchet MS" w:hAnsi="Trebuchet MS" w:cstheme="minorHAnsi"/>
          <w:b/>
          <w:bCs/>
          <w:i/>
          <w:sz w:val="22"/>
          <w:szCs w:val="22"/>
          <w:lang w:val="it-IT"/>
        </w:rPr>
      </w:pPr>
    </w:p>
    <w:p w14:paraId="77C5926A" w14:textId="1E107DB9" w:rsidR="00792EEB" w:rsidRPr="000742FE" w:rsidRDefault="005B3844" w:rsidP="00792EEB">
      <w:pPr>
        <w:jc w:val="center"/>
        <w:rPr>
          <w:rFonts w:ascii="Trebuchet MS" w:hAnsi="Trebuchet MS" w:cstheme="minorHAnsi"/>
          <w:b/>
          <w:bCs/>
          <w:i/>
          <w:sz w:val="22"/>
          <w:szCs w:val="22"/>
          <w:lang w:val="it-IT"/>
        </w:rPr>
      </w:pPr>
      <w:r w:rsidRPr="000742FE">
        <w:rPr>
          <w:rFonts w:ascii="Trebuchet MS" w:hAnsi="Trebuchet MS" w:cstheme="minorHAnsi"/>
          <w:b/>
          <w:bCs/>
          <w:i/>
          <w:sz w:val="22"/>
          <w:szCs w:val="22"/>
          <w:lang w:val="it-IT"/>
        </w:rPr>
        <w:t xml:space="preserve">I primi risultati dello studio </w:t>
      </w:r>
      <w:r w:rsidR="00466733" w:rsidRPr="000742FE">
        <w:rPr>
          <w:rFonts w:ascii="Trebuchet MS" w:hAnsi="Trebuchet MS" w:cstheme="minorHAnsi"/>
          <w:b/>
          <w:bCs/>
          <w:i/>
          <w:sz w:val="22"/>
          <w:szCs w:val="22"/>
          <w:lang w:val="it-IT"/>
        </w:rPr>
        <w:t xml:space="preserve">CheckMate -9LA </w:t>
      </w:r>
      <w:r w:rsidRPr="000742FE">
        <w:rPr>
          <w:rFonts w:ascii="Trebuchet MS" w:hAnsi="Trebuchet MS" w:cstheme="minorHAnsi"/>
          <w:b/>
          <w:bCs/>
          <w:i/>
          <w:sz w:val="22"/>
          <w:szCs w:val="22"/>
          <w:lang w:val="it-IT"/>
        </w:rPr>
        <w:t>saranno presentati in una session</w:t>
      </w:r>
      <w:r w:rsidR="00CF25D5" w:rsidRPr="000742FE">
        <w:rPr>
          <w:rFonts w:ascii="Trebuchet MS" w:hAnsi="Trebuchet MS" w:cstheme="minorHAnsi"/>
          <w:b/>
          <w:bCs/>
          <w:i/>
          <w:sz w:val="22"/>
          <w:szCs w:val="22"/>
          <w:lang w:val="it-IT"/>
        </w:rPr>
        <w:t>e</w:t>
      </w:r>
      <w:r w:rsidRPr="000742FE">
        <w:rPr>
          <w:rFonts w:ascii="Trebuchet MS" w:hAnsi="Trebuchet MS" w:cstheme="minorHAnsi"/>
          <w:b/>
          <w:bCs/>
          <w:i/>
          <w:sz w:val="22"/>
          <w:szCs w:val="22"/>
          <w:lang w:val="it-IT"/>
        </w:rPr>
        <w:t xml:space="preserve"> orale d</w:t>
      </w:r>
      <w:r w:rsidR="00C60F35" w:rsidRPr="000742FE">
        <w:rPr>
          <w:rFonts w:ascii="Trebuchet MS" w:hAnsi="Trebuchet MS" w:cstheme="minorHAnsi"/>
          <w:b/>
          <w:bCs/>
          <w:i/>
          <w:sz w:val="22"/>
          <w:szCs w:val="22"/>
          <w:lang w:val="it-IT"/>
        </w:rPr>
        <w:t>el Congresso</w:t>
      </w:r>
      <w:r w:rsidRPr="000742FE">
        <w:rPr>
          <w:rFonts w:ascii="Trebuchet MS" w:hAnsi="Trebuchet MS" w:cstheme="minorHAnsi"/>
          <w:b/>
          <w:bCs/>
          <w:i/>
          <w:sz w:val="22"/>
          <w:szCs w:val="22"/>
          <w:lang w:val="it-IT"/>
        </w:rPr>
        <w:t xml:space="preserve"> </w:t>
      </w:r>
      <w:r w:rsidR="00466733" w:rsidRPr="000742FE">
        <w:rPr>
          <w:rFonts w:ascii="Trebuchet MS" w:hAnsi="Trebuchet MS" w:cstheme="minorHAnsi"/>
          <w:b/>
          <w:bCs/>
          <w:i/>
          <w:sz w:val="22"/>
          <w:szCs w:val="22"/>
          <w:lang w:val="it-IT"/>
        </w:rPr>
        <w:t>ASCO 2020</w:t>
      </w:r>
    </w:p>
    <w:p w14:paraId="718EEF1B" w14:textId="77777777" w:rsidR="005D40B3" w:rsidRPr="000742FE" w:rsidRDefault="005D40B3" w:rsidP="00960005">
      <w:pPr>
        <w:jc w:val="center"/>
        <w:rPr>
          <w:rFonts w:ascii="Trebuchet MS" w:hAnsi="Trebuchet MS" w:cstheme="minorHAnsi"/>
          <w:sz w:val="22"/>
          <w:szCs w:val="22"/>
          <w:lang w:val="it-IT"/>
        </w:rPr>
      </w:pPr>
    </w:p>
    <w:p w14:paraId="1377CFBB" w14:textId="77777777" w:rsidR="00FA4FFC" w:rsidRPr="000742FE" w:rsidRDefault="00FA4FFC" w:rsidP="00FA4FFC">
      <w:pPr>
        <w:rPr>
          <w:rFonts w:ascii="Trebuchet MS" w:hAnsi="Trebuchet MS" w:cstheme="minorHAnsi"/>
          <w:b/>
          <w:sz w:val="22"/>
          <w:szCs w:val="22"/>
          <w:lang w:val="it-IT"/>
        </w:rPr>
      </w:pPr>
    </w:p>
    <w:p w14:paraId="7668E237" w14:textId="027F4FDB" w:rsidR="007546CB" w:rsidRPr="000742FE" w:rsidRDefault="00FA4FFC" w:rsidP="00B85040">
      <w:pPr>
        <w:spacing w:line="360" w:lineRule="auto"/>
        <w:ind w:firstLine="720"/>
        <w:jc w:val="both"/>
        <w:rPr>
          <w:rFonts w:ascii="Trebuchet MS" w:hAnsi="Trebuchet MS" w:cstheme="minorHAnsi"/>
          <w:color w:val="000000" w:themeColor="text1"/>
          <w:sz w:val="22"/>
          <w:szCs w:val="22"/>
          <w:lang w:val="it-IT"/>
        </w:rPr>
      </w:pPr>
      <w:r w:rsidRPr="000742FE">
        <w:rPr>
          <w:rFonts w:ascii="Trebuchet MS" w:hAnsi="Trebuchet MS" w:cstheme="minorHAnsi"/>
          <w:sz w:val="22"/>
          <w:szCs w:val="22"/>
          <w:lang w:val="it-IT"/>
        </w:rPr>
        <w:t xml:space="preserve">(PRINCETON, NJ, </w:t>
      </w:r>
      <w:r w:rsidR="00B01544">
        <w:rPr>
          <w:rFonts w:ascii="Trebuchet MS" w:hAnsi="Trebuchet MS" w:cstheme="minorHAnsi"/>
          <w:sz w:val="22"/>
          <w:szCs w:val="22"/>
          <w:lang w:val="it-IT"/>
        </w:rPr>
        <w:t>21</w:t>
      </w:r>
      <w:r w:rsidR="00B85040" w:rsidRPr="000742FE">
        <w:rPr>
          <w:rFonts w:ascii="Trebuchet MS" w:hAnsi="Trebuchet MS" w:cstheme="minorHAnsi"/>
          <w:sz w:val="22"/>
          <w:szCs w:val="22"/>
          <w:lang w:val="it-IT"/>
        </w:rPr>
        <w:t xml:space="preserve"> maggio 2020</w:t>
      </w:r>
      <w:r w:rsidRPr="000742FE">
        <w:rPr>
          <w:rFonts w:ascii="Trebuchet MS" w:hAnsi="Trebuchet MS" w:cstheme="minorHAnsi"/>
          <w:sz w:val="22"/>
          <w:szCs w:val="22"/>
          <w:lang w:val="it-IT"/>
        </w:rPr>
        <w:t>) –</w:t>
      </w:r>
      <w:r w:rsidR="00A92AE3" w:rsidRPr="000742FE">
        <w:rPr>
          <w:rFonts w:ascii="Trebuchet MS" w:hAnsi="Trebuchet MS" w:cstheme="minorHAnsi"/>
          <w:lang w:val="it-IT"/>
        </w:rPr>
        <w:t xml:space="preserve"> </w:t>
      </w:r>
      <w:r w:rsidR="00A92AE3" w:rsidRPr="000742FE">
        <w:rPr>
          <w:rFonts w:ascii="Trebuchet MS" w:hAnsi="Trebuchet MS" w:cstheme="minorHAnsi"/>
          <w:color w:val="000000" w:themeColor="text1"/>
          <w:sz w:val="22"/>
          <w:szCs w:val="22"/>
          <w:lang w:val="it-IT"/>
        </w:rPr>
        <w:t>Bristol Myers Squibb</w:t>
      </w:r>
      <w:r w:rsidR="00A92AE3" w:rsidRPr="000742FE">
        <w:rPr>
          <w:rFonts w:ascii="Trebuchet MS" w:eastAsia="Times New Roman" w:hAnsi="Trebuchet MS" w:cstheme="minorHAnsi"/>
          <w:color w:val="000000" w:themeColor="text1"/>
          <w:sz w:val="22"/>
          <w:szCs w:val="22"/>
          <w:lang w:val="it-IT"/>
        </w:rPr>
        <w:t xml:space="preserve"> </w:t>
      </w:r>
      <w:r w:rsidR="005B3844" w:rsidRPr="000742FE">
        <w:rPr>
          <w:rFonts w:ascii="Trebuchet MS" w:eastAsia="Times New Roman" w:hAnsi="Trebuchet MS" w:cstheme="minorHAnsi"/>
          <w:color w:val="000000" w:themeColor="text1"/>
          <w:sz w:val="22"/>
          <w:szCs w:val="22"/>
          <w:lang w:val="it-IT"/>
        </w:rPr>
        <w:t>ha annunciat</w:t>
      </w:r>
      <w:r w:rsidR="0061703E" w:rsidRPr="000742FE">
        <w:rPr>
          <w:rFonts w:ascii="Trebuchet MS" w:eastAsia="Times New Roman" w:hAnsi="Trebuchet MS" w:cstheme="minorHAnsi"/>
          <w:color w:val="000000" w:themeColor="text1"/>
          <w:sz w:val="22"/>
          <w:szCs w:val="22"/>
          <w:lang w:val="it-IT"/>
        </w:rPr>
        <w:t>o</w:t>
      </w:r>
      <w:r w:rsidR="00A92AE3" w:rsidRPr="000742FE">
        <w:rPr>
          <w:rFonts w:ascii="Trebuchet MS" w:eastAsia="Times New Roman" w:hAnsi="Trebuchet MS" w:cstheme="minorHAnsi"/>
          <w:color w:val="000000" w:themeColor="text1"/>
          <w:sz w:val="22"/>
          <w:szCs w:val="22"/>
          <w:lang w:val="it-IT"/>
        </w:rPr>
        <w:t xml:space="preserve"> oggi</w:t>
      </w:r>
      <w:r w:rsidR="005B3844" w:rsidRPr="000742FE">
        <w:rPr>
          <w:rFonts w:ascii="Trebuchet MS" w:eastAsia="Times New Roman" w:hAnsi="Trebuchet MS" w:cstheme="minorHAnsi"/>
          <w:color w:val="000000" w:themeColor="text1"/>
          <w:sz w:val="22"/>
          <w:szCs w:val="22"/>
          <w:lang w:val="it-IT"/>
        </w:rPr>
        <w:t xml:space="preserve"> la prima presentazione dei risultati dello studio di fase </w:t>
      </w:r>
      <w:r w:rsidR="00792EEB" w:rsidRPr="000742FE">
        <w:rPr>
          <w:rFonts w:ascii="Trebuchet MS" w:hAnsi="Trebuchet MS" w:cstheme="minorHAnsi"/>
          <w:sz w:val="22"/>
          <w:szCs w:val="22"/>
          <w:lang w:val="it-IT"/>
        </w:rPr>
        <w:t>3 CheckMate -9LA</w:t>
      </w:r>
      <w:r w:rsidR="00B85040" w:rsidRPr="000742FE">
        <w:rPr>
          <w:rFonts w:ascii="Trebuchet MS" w:hAnsi="Trebuchet MS" w:cstheme="minorHAnsi"/>
          <w:sz w:val="22"/>
          <w:szCs w:val="22"/>
          <w:lang w:val="it-IT"/>
        </w:rPr>
        <w:t>,</w:t>
      </w:r>
      <w:r w:rsidR="00792EEB" w:rsidRPr="000742FE">
        <w:rPr>
          <w:rFonts w:ascii="Trebuchet MS" w:hAnsi="Trebuchet MS" w:cstheme="minorHAnsi"/>
          <w:sz w:val="22"/>
          <w:szCs w:val="22"/>
          <w:lang w:val="it-IT"/>
        </w:rPr>
        <w:t xml:space="preserve"> </w:t>
      </w:r>
      <w:r w:rsidR="005B3844" w:rsidRPr="000742FE">
        <w:rPr>
          <w:rFonts w:ascii="Trebuchet MS" w:hAnsi="Trebuchet MS" w:cstheme="minorHAnsi"/>
          <w:sz w:val="22"/>
          <w:szCs w:val="22"/>
          <w:lang w:val="it-IT"/>
        </w:rPr>
        <w:t xml:space="preserve">che ha mostrato un beneficio di sopravvivenza statisticamente significativo e clinicamente rilevante con </w:t>
      </w:r>
      <w:r w:rsidR="00792EEB" w:rsidRPr="000742FE">
        <w:rPr>
          <w:rFonts w:ascii="Trebuchet MS" w:hAnsi="Trebuchet MS" w:cstheme="minorHAnsi"/>
          <w:sz w:val="22"/>
          <w:szCs w:val="22"/>
          <w:lang w:val="it-IT"/>
        </w:rPr>
        <w:t>nivolumab</w:t>
      </w:r>
      <w:r w:rsidR="005B3844" w:rsidRPr="000742FE">
        <w:rPr>
          <w:rFonts w:ascii="Trebuchet MS" w:hAnsi="Trebuchet MS" w:cstheme="minorHAnsi"/>
          <w:sz w:val="22"/>
          <w:szCs w:val="22"/>
          <w:lang w:val="it-IT"/>
        </w:rPr>
        <w:t xml:space="preserve"> </w:t>
      </w:r>
      <w:r w:rsidR="004B5CF9" w:rsidRPr="000742FE">
        <w:rPr>
          <w:rFonts w:ascii="Trebuchet MS" w:hAnsi="Trebuchet MS" w:cstheme="minorHAnsi"/>
          <w:sz w:val="22"/>
          <w:szCs w:val="22"/>
          <w:lang w:val="it-IT"/>
        </w:rPr>
        <w:t xml:space="preserve">più </w:t>
      </w:r>
      <w:r w:rsidR="005B3844" w:rsidRPr="000742FE">
        <w:rPr>
          <w:rFonts w:ascii="Trebuchet MS" w:hAnsi="Trebuchet MS" w:cstheme="minorHAnsi"/>
          <w:sz w:val="22"/>
          <w:szCs w:val="22"/>
          <w:lang w:val="it-IT"/>
        </w:rPr>
        <w:t>ip</w:t>
      </w:r>
      <w:r w:rsidR="00792EEB" w:rsidRPr="000742FE">
        <w:rPr>
          <w:rFonts w:ascii="Trebuchet MS" w:hAnsi="Trebuchet MS" w:cstheme="minorHAnsi"/>
          <w:sz w:val="22"/>
          <w:szCs w:val="22"/>
          <w:lang w:val="it-IT"/>
        </w:rPr>
        <w:t xml:space="preserve">ilimumab </w:t>
      </w:r>
      <w:r w:rsidR="005B3844" w:rsidRPr="000742FE">
        <w:rPr>
          <w:rFonts w:ascii="Trebuchet MS" w:hAnsi="Trebuchet MS" w:cstheme="minorHAnsi"/>
          <w:sz w:val="22"/>
          <w:szCs w:val="22"/>
          <w:lang w:val="it-IT"/>
        </w:rPr>
        <w:t xml:space="preserve">somministrati </w:t>
      </w:r>
      <w:r w:rsidR="00A66719" w:rsidRPr="000742FE">
        <w:rPr>
          <w:rFonts w:ascii="Trebuchet MS" w:hAnsi="Trebuchet MS" w:cstheme="minorHAnsi"/>
          <w:sz w:val="22"/>
          <w:szCs w:val="22"/>
          <w:lang w:val="it-IT"/>
        </w:rPr>
        <w:t xml:space="preserve">in associazione </w:t>
      </w:r>
      <w:r w:rsidR="008E32E4" w:rsidRPr="000742FE">
        <w:rPr>
          <w:rFonts w:ascii="Trebuchet MS" w:hAnsi="Trebuchet MS" w:cstheme="minorHAnsi"/>
          <w:sz w:val="22"/>
          <w:szCs w:val="22"/>
          <w:lang w:val="it-IT"/>
        </w:rPr>
        <w:t>con due cicli di chemioterapia, nel trattamento di prima linea del tumore del polmone metastatico non a piccol</w:t>
      </w:r>
      <w:r w:rsidR="00CF25D5" w:rsidRPr="000742FE">
        <w:rPr>
          <w:rFonts w:ascii="Trebuchet MS" w:hAnsi="Trebuchet MS" w:cstheme="minorHAnsi"/>
          <w:sz w:val="22"/>
          <w:szCs w:val="22"/>
          <w:lang w:val="it-IT"/>
        </w:rPr>
        <w:t>e</w:t>
      </w:r>
      <w:r w:rsidR="008E32E4" w:rsidRPr="000742FE">
        <w:rPr>
          <w:rFonts w:ascii="Trebuchet MS" w:hAnsi="Trebuchet MS" w:cstheme="minorHAnsi"/>
          <w:sz w:val="22"/>
          <w:szCs w:val="22"/>
          <w:lang w:val="it-IT"/>
        </w:rPr>
        <w:t xml:space="preserve"> cellule </w:t>
      </w:r>
      <w:r w:rsidR="00792EEB" w:rsidRPr="000742FE">
        <w:rPr>
          <w:rFonts w:ascii="Trebuchet MS" w:hAnsi="Trebuchet MS" w:cstheme="minorHAnsi"/>
          <w:sz w:val="22"/>
          <w:szCs w:val="22"/>
          <w:lang w:val="it-IT"/>
        </w:rPr>
        <w:t>(NSCLC).</w:t>
      </w:r>
      <w:r w:rsidR="00792EEB" w:rsidRPr="000742FE">
        <w:rPr>
          <w:rFonts w:ascii="Trebuchet MS" w:hAnsi="Trebuchet MS" w:cstheme="minorHAnsi"/>
          <w:color w:val="000000" w:themeColor="text1"/>
          <w:sz w:val="22"/>
          <w:szCs w:val="22"/>
          <w:lang w:val="it-IT"/>
        </w:rPr>
        <w:t xml:space="preserve"> </w:t>
      </w:r>
      <w:r w:rsidR="008E32E4" w:rsidRPr="000742FE">
        <w:rPr>
          <w:rFonts w:ascii="Trebuchet MS" w:hAnsi="Trebuchet MS" w:cstheme="minorHAnsi"/>
          <w:color w:val="000000" w:themeColor="text1"/>
          <w:sz w:val="22"/>
          <w:szCs w:val="22"/>
          <w:lang w:val="it-IT"/>
        </w:rPr>
        <w:t xml:space="preserve">Lo studio ha </w:t>
      </w:r>
      <w:r w:rsidR="00E57988" w:rsidRPr="000742FE">
        <w:rPr>
          <w:rFonts w:ascii="Trebuchet MS" w:hAnsi="Trebuchet MS" w:cstheme="minorHAnsi"/>
          <w:color w:val="000000" w:themeColor="text1"/>
          <w:sz w:val="22"/>
          <w:szCs w:val="22"/>
          <w:lang w:val="it-IT"/>
        </w:rPr>
        <w:t xml:space="preserve">raggiunto sia </w:t>
      </w:r>
      <w:r w:rsidR="008E32E4" w:rsidRPr="000742FE">
        <w:rPr>
          <w:rFonts w:ascii="Trebuchet MS" w:hAnsi="Trebuchet MS" w:cstheme="minorHAnsi"/>
          <w:color w:val="000000" w:themeColor="text1"/>
          <w:sz w:val="22"/>
          <w:szCs w:val="22"/>
          <w:lang w:val="it-IT"/>
        </w:rPr>
        <w:t>gli endpoint primar</w:t>
      </w:r>
      <w:r w:rsidR="00A92AE3" w:rsidRPr="000742FE">
        <w:rPr>
          <w:rFonts w:ascii="Trebuchet MS" w:hAnsi="Trebuchet MS" w:cstheme="minorHAnsi"/>
          <w:color w:val="000000" w:themeColor="text1"/>
          <w:sz w:val="22"/>
          <w:szCs w:val="22"/>
          <w:lang w:val="it-IT"/>
        </w:rPr>
        <w:t>i</w:t>
      </w:r>
      <w:r w:rsidR="008E32E4" w:rsidRPr="000742FE">
        <w:rPr>
          <w:rFonts w:ascii="Trebuchet MS" w:hAnsi="Trebuchet MS" w:cstheme="minorHAnsi"/>
          <w:color w:val="000000" w:themeColor="text1"/>
          <w:sz w:val="22"/>
          <w:szCs w:val="22"/>
          <w:lang w:val="it-IT"/>
        </w:rPr>
        <w:t xml:space="preserve"> </w:t>
      </w:r>
      <w:r w:rsidR="00E57988" w:rsidRPr="000742FE">
        <w:rPr>
          <w:rFonts w:ascii="Trebuchet MS" w:hAnsi="Trebuchet MS" w:cstheme="minorHAnsi"/>
          <w:color w:val="000000" w:themeColor="text1"/>
          <w:sz w:val="22"/>
          <w:szCs w:val="22"/>
          <w:lang w:val="it-IT"/>
        </w:rPr>
        <w:t xml:space="preserve">sia gli endpoint </w:t>
      </w:r>
      <w:r w:rsidR="008E32E4" w:rsidRPr="000742FE">
        <w:rPr>
          <w:rFonts w:ascii="Trebuchet MS" w:hAnsi="Trebuchet MS" w:cstheme="minorHAnsi"/>
          <w:color w:val="000000" w:themeColor="text1"/>
          <w:sz w:val="22"/>
          <w:szCs w:val="22"/>
          <w:lang w:val="it-IT"/>
        </w:rPr>
        <w:t>secondari</w:t>
      </w:r>
      <w:r w:rsidR="00E57988" w:rsidRPr="000742FE">
        <w:rPr>
          <w:rFonts w:ascii="Trebuchet MS" w:hAnsi="Trebuchet MS" w:cstheme="minorHAnsi"/>
          <w:color w:val="000000" w:themeColor="text1"/>
          <w:sz w:val="22"/>
          <w:szCs w:val="22"/>
          <w:lang w:val="it-IT"/>
        </w:rPr>
        <w:t xml:space="preserve"> chiave</w:t>
      </w:r>
      <w:r w:rsidR="00792EEB" w:rsidRPr="000742FE">
        <w:rPr>
          <w:rFonts w:ascii="Trebuchet MS" w:hAnsi="Trebuchet MS" w:cstheme="minorHAnsi"/>
          <w:color w:val="000000" w:themeColor="text1"/>
          <w:sz w:val="22"/>
          <w:szCs w:val="22"/>
          <w:lang w:val="it-IT"/>
        </w:rPr>
        <w:t xml:space="preserve">, </w:t>
      </w:r>
      <w:r w:rsidR="008E32E4" w:rsidRPr="000742FE">
        <w:rPr>
          <w:rFonts w:ascii="Trebuchet MS" w:hAnsi="Trebuchet MS" w:cstheme="minorHAnsi"/>
          <w:color w:val="000000" w:themeColor="text1"/>
          <w:sz w:val="22"/>
          <w:szCs w:val="22"/>
          <w:lang w:val="it-IT"/>
        </w:rPr>
        <w:t xml:space="preserve">dimostrando superiore sopravvivenza globale </w:t>
      </w:r>
      <w:r w:rsidR="00792EEB" w:rsidRPr="000742FE">
        <w:rPr>
          <w:rFonts w:ascii="Trebuchet MS" w:hAnsi="Trebuchet MS" w:cstheme="minorHAnsi"/>
          <w:color w:val="000000" w:themeColor="text1"/>
          <w:sz w:val="22"/>
          <w:szCs w:val="22"/>
          <w:lang w:val="it-IT"/>
        </w:rPr>
        <w:t>(OS)</w:t>
      </w:r>
      <w:r w:rsidR="00BB11B0" w:rsidRPr="000742FE">
        <w:rPr>
          <w:rFonts w:ascii="Trebuchet MS" w:hAnsi="Trebuchet MS" w:cstheme="minorHAnsi"/>
          <w:color w:val="000000" w:themeColor="text1"/>
          <w:sz w:val="22"/>
          <w:szCs w:val="22"/>
          <w:lang w:val="it-IT"/>
        </w:rPr>
        <w:t xml:space="preserve">, </w:t>
      </w:r>
      <w:r w:rsidR="008E32E4" w:rsidRPr="000742FE">
        <w:rPr>
          <w:rFonts w:ascii="Trebuchet MS" w:hAnsi="Trebuchet MS" w:cstheme="minorHAnsi"/>
          <w:color w:val="000000" w:themeColor="text1"/>
          <w:sz w:val="22"/>
          <w:szCs w:val="22"/>
          <w:lang w:val="it-IT"/>
        </w:rPr>
        <w:t>sopravvivenza libera da progression</w:t>
      </w:r>
      <w:r w:rsidR="0061703E" w:rsidRPr="000742FE">
        <w:rPr>
          <w:rFonts w:ascii="Trebuchet MS" w:hAnsi="Trebuchet MS" w:cstheme="minorHAnsi"/>
          <w:color w:val="000000" w:themeColor="text1"/>
          <w:sz w:val="22"/>
          <w:szCs w:val="22"/>
          <w:lang w:val="it-IT"/>
        </w:rPr>
        <w:t>e</w:t>
      </w:r>
      <w:r w:rsidR="008E32E4" w:rsidRPr="000742FE">
        <w:rPr>
          <w:rFonts w:ascii="Trebuchet MS" w:hAnsi="Trebuchet MS" w:cstheme="minorHAnsi"/>
          <w:color w:val="000000" w:themeColor="text1"/>
          <w:sz w:val="22"/>
          <w:szCs w:val="22"/>
          <w:lang w:val="it-IT"/>
        </w:rPr>
        <w:t xml:space="preserve"> </w:t>
      </w:r>
      <w:r w:rsidR="00BB11B0" w:rsidRPr="000742FE">
        <w:rPr>
          <w:rFonts w:ascii="Trebuchet MS" w:hAnsi="Trebuchet MS" w:cstheme="minorHAnsi"/>
          <w:color w:val="000000" w:themeColor="text1"/>
          <w:sz w:val="22"/>
          <w:szCs w:val="22"/>
          <w:lang w:val="it-IT"/>
        </w:rPr>
        <w:t xml:space="preserve">(PFS) </w:t>
      </w:r>
      <w:r w:rsidR="008E32E4" w:rsidRPr="000742FE">
        <w:rPr>
          <w:rFonts w:ascii="Trebuchet MS" w:hAnsi="Trebuchet MS" w:cstheme="minorHAnsi"/>
          <w:color w:val="000000" w:themeColor="text1"/>
          <w:sz w:val="22"/>
          <w:szCs w:val="22"/>
          <w:lang w:val="it-IT"/>
        </w:rPr>
        <w:t xml:space="preserve">e tasso di risposta globale </w:t>
      </w:r>
      <w:r w:rsidR="00BB11B0" w:rsidRPr="000742FE">
        <w:rPr>
          <w:rFonts w:ascii="Trebuchet MS" w:hAnsi="Trebuchet MS" w:cstheme="minorHAnsi"/>
          <w:color w:val="000000" w:themeColor="text1"/>
          <w:sz w:val="22"/>
          <w:szCs w:val="22"/>
          <w:lang w:val="it-IT"/>
        </w:rPr>
        <w:t>(ORR)</w:t>
      </w:r>
      <w:r w:rsidR="00792EEB" w:rsidRPr="000742FE">
        <w:rPr>
          <w:rFonts w:ascii="Trebuchet MS" w:hAnsi="Trebuchet MS" w:cstheme="minorHAnsi"/>
          <w:color w:val="000000" w:themeColor="text1"/>
          <w:sz w:val="22"/>
          <w:szCs w:val="22"/>
          <w:lang w:val="it-IT"/>
        </w:rPr>
        <w:t xml:space="preserve"> </w:t>
      </w:r>
      <w:r w:rsidR="008E32E4" w:rsidRPr="000742FE">
        <w:rPr>
          <w:rFonts w:ascii="Trebuchet MS" w:hAnsi="Trebuchet MS" w:cstheme="minorHAnsi"/>
          <w:color w:val="000000" w:themeColor="text1"/>
          <w:sz w:val="22"/>
          <w:szCs w:val="22"/>
          <w:lang w:val="it-IT"/>
        </w:rPr>
        <w:t xml:space="preserve">con la </w:t>
      </w:r>
      <w:r w:rsidR="004B5CF9" w:rsidRPr="000742FE">
        <w:rPr>
          <w:rFonts w:ascii="Trebuchet MS" w:hAnsi="Trebuchet MS" w:cstheme="minorHAnsi"/>
          <w:color w:val="000000" w:themeColor="text1"/>
          <w:sz w:val="22"/>
          <w:szCs w:val="22"/>
          <w:lang w:val="it-IT"/>
        </w:rPr>
        <w:t xml:space="preserve">associazione </w:t>
      </w:r>
      <w:r w:rsidR="008E32E4" w:rsidRPr="000742FE">
        <w:rPr>
          <w:rFonts w:ascii="Trebuchet MS" w:hAnsi="Trebuchet MS" w:cstheme="minorHAnsi"/>
          <w:color w:val="000000" w:themeColor="text1"/>
          <w:sz w:val="22"/>
          <w:szCs w:val="22"/>
          <w:lang w:val="it-IT"/>
        </w:rPr>
        <w:t>dei due immunoterapici con</w:t>
      </w:r>
      <w:r w:rsidR="009E69B4" w:rsidRPr="000742FE">
        <w:rPr>
          <w:rFonts w:ascii="Trebuchet MS" w:hAnsi="Trebuchet MS" w:cstheme="minorHAnsi"/>
          <w:color w:val="000000" w:themeColor="text1"/>
          <w:sz w:val="22"/>
          <w:szCs w:val="22"/>
          <w:lang w:val="it-IT"/>
        </w:rPr>
        <w:t xml:space="preserve"> la</w:t>
      </w:r>
      <w:r w:rsidR="008E32E4" w:rsidRPr="000742FE">
        <w:rPr>
          <w:rFonts w:ascii="Trebuchet MS" w:hAnsi="Trebuchet MS" w:cstheme="minorHAnsi"/>
          <w:color w:val="000000" w:themeColor="text1"/>
          <w:sz w:val="22"/>
          <w:szCs w:val="22"/>
          <w:lang w:val="it-IT"/>
        </w:rPr>
        <w:t xml:space="preserve"> </w:t>
      </w:r>
      <w:r w:rsidR="0001390E" w:rsidRPr="000742FE">
        <w:rPr>
          <w:rFonts w:ascii="Trebuchet MS" w:hAnsi="Trebuchet MS" w:cstheme="minorHAnsi"/>
          <w:color w:val="000000" w:themeColor="text1"/>
          <w:sz w:val="22"/>
          <w:szCs w:val="22"/>
          <w:lang w:val="it-IT"/>
        </w:rPr>
        <w:t>chem</w:t>
      </w:r>
      <w:r w:rsidR="008E32E4" w:rsidRPr="000742FE">
        <w:rPr>
          <w:rFonts w:ascii="Trebuchet MS" w:hAnsi="Trebuchet MS" w:cstheme="minorHAnsi"/>
          <w:color w:val="000000" w:themeColor="text1"/>
          <w:sz w:val="22"/>
          <w:szCs w:val="22"/>
          <w:lang w:val="it-IT"/>
        </w:rPr>
        <w:t>i</w:t>
      </w:r>
      <w:r w:rsidR="0001390E" w:rsidRPr="000742FE">
        <w:rPr>
          <w:rFonts w:ascii="Trebuchet MS" w:hAnsi="Trebuchet MS" w:cstheme="minorHAnsi"/>
          <w:color w:val="000000" w:themeColor="text1"/>
          <w:sz w:val="22"/>
          <w:szCs w:val="22"/>
          <w:lang w:val="it-IT"/>
        </w:rPr>
        <w:t>oterap</w:t>
      </w:r>
      <w:r w:rsidR="008E32E4" w:rsidRPr="000742FE">
        <w:rPr>
          <w:rFonts w:ascii="Trebuchet MS" w:hAnsi="Trebuchet MS" w:cstheme="minorHAnsi"/>
          <w:color w:val="000000" w:themeColor="text1"/>
          <w:sz w:val="22"/>
          <w:szCs w:val="22"/>
          <w:lang w:val="it-IT"/>
        </w:rPr>
        <w:t>ia</w:t>
      </w:r>
      <w:r w:rsidR="00792EEB" w:rsidRPr="000742FE">
        <w:rPr>
          <w:rFonts w:ascii="Trebuchet MS" w:hAnsi="Trebuchet MS" w:cstheme="minorHAnsi"/>
          <w:color w:val="000000" w:themeColor="text1"/>
          <w:sz w:val="22"/>
          <w:szCs w:val="22"/>
          <w:lang w:val="it-IT"/>
        </w:rPr>
        <w:t xml:space="preserve"> </w:t>
      </w:r>
      <w:r w:rsidR="008E32E4" w:rsidRPr="000742FE">
        <w:rPr>
          <w:rFonts w:ascii="Trebuchet MS" w:hAnsi="Trebuchet MS" w:cstheme="minorHAnsi"/>
          <w:color w:val="000000" w:themeColor="text1"/>
          <w:sz w:val="22"/>
          <w:szCs w:val="22"/>
          <w:lang w:val="it-IT"/>
        </w:rPr>
        <w:t>rispetto alla sola chemioterapia.</w:t>
      </w:r>
      <w:r w:rsidR="00BB11B0" w:rsidRPr="000742FE">
        <w:rPr>
          <w:rFonts w:ascii="Trebuchet MS" w:hAnsi="Trebuchet MS" w:cstheme="minorHAnsi"/>
          <w:color w:val="000000" w:themeColor="text1"/>
          <w:sz w:val="22"/>
          <w:szCs w:val="22"/>
          <w:lang w:val="it-IT"/>
        </w:rPr>
        <w:t xml:space="preserve"> </w:t>
      </w:r>
    </w:p>
    <w:p w14:paraId="30BB5B68" w14:textId="180242D4" w:rsidR="00792EEB" w:rsidRPr="000742FE" w:rsidRDefault="00887845" w:rsidP="00B85040">
      <w:pPr>
        <w:spacing w:line="360" w:lineRule="auto"/>
        <w:ind w:firstLine="720"/>
        <w:jc w:val="both"/>
        <w:rPr>
          <w:rFonts w:ascii="Trebuchet MS" w:hAnsi="Trebuchet MS" w:cstheme="minorHAnsi"/>
          <w:color w:val="000000" w:themeColor="text1"/>
          <w:sz w:val="22"/>
          <w:szCs w:val="22"/>
          <w:lang w:val="it-IT"/>
        </w:rPr>
      </w:pPr>
      <w:r w:rsidRPr="000742FE">
        <w:rPr>
          <w:rFonts w:ascii="Trebuchet MS" w:hAnsi="Trebuchet MS" w:cstheme="minorHAnsi"/>
          <w:color w:val="000000" w:themeColor="text1"/>
          <w:sz w:val="22"/>
          <w:szCs w:val="22"/>
          <w:lang w:val="it-IT"/>
        </w:rPr>
        <w:t xml:space="preserve">In una </w:t>
      </w:r>
      <w:r w:rsidR="008E32E4" w:rsidRPr="000742FE">
        <w:rPr>
          <w:rFonts w:ascii="Trebuchet MS" w:hAnsi="Trebuchet MS" w:cstheme="minorHAnsi"/>
          <w:color w:val="000000" w:themeColor="text1"/>
          <w:sz w:val="22"/>
          <w:szCs w:val="22"/>
          <w:lang w:val="it-IT"/>
        </w:rPr>
        <w:t>analisi ad interim predefinita dell’endpoint primario di sopravvivenza globale (</w:t>
      </w:r>
      <w:r w:rsidR="00BB11B0" w:rsidRPr="000742FE">
        <w:rPr>
          <w:rFonts w:ascii="Trebuchet MS" w:hAnsi="Trebuchet MS" w:cstheme="minorHAnsi"/>
          <w:color w:val="000000" w:themeColor="text1"/>
          <w:sz w:val="22"/>
          <w:szCs w:val="22"/>
          <w:lang w:val="it-IT"/>
        </w:rPr>
        <w:t>OS</w:t>
      </w:r>
      <w:r w:rsidR="008E32E4" w:rsidRPr="000742FE">
        <w:rPr>
          <w:rFonts w:ascii="Trebuchet MS" w:hAnsi="Trebuchet MS" w:cstheme="minorHAnsi"/>
          <w:color w:val="000000" w:themeColor="text1"/>
          <w:sz w:val="22"/>
          <w:szCs w:val="22"/>
          <w:lang w:val="it-IT"/>
        </w:rPr>
        <w:t>)</w:t>
      </w:r>
      <w:r w:rsidR="00BB11B0" w:rsidRPr="000742FE">
        <w:rPr>
          <w:rFonts w:ascii="Trebuchet MS" w:hAnsi="Trebuchet MS" w:cstheme="minorHAnsi"/>
          <w:color w:val="000000" w:themeColor="text1"/>
          <w:sz w:val="22"/>
          <w:szCs w:val="22"/>
          <w:lang w:val="it-IT"/>
        </w:rPr>
        <w:t xml:space="preserve">, </w:t>
      </w:r>
      <w:r w:rsidR="008E32E4" w:rsidRPr="000742FE">
        <w:rPr>
          <w:rFonts w:ascii="Trebuchet MS" w:hAnsi="Trebuchet MS" w:cstheme="minorHAnsi"/>
          <w:color w:val="000000" w:themeColor="text1"/>
          <w:sz w:val="22"/>
          <w:szCs w:val="22"/>
          <w:lang w:val="it-IT"/>
        </w:rPr>
        <w:t xml:space="preserve">nivolumab </w:t>
      </w:r>
      <w:r w:rsidR="000E06FC" w:rsidRPr="000742FE">
        <w:rPr>
          <w:rFonts w:ascii="Trebuchet MS" w:hAnsi="Trebuchet MS" w:cstheme="minorHAnsi"/>
          <w:color w:val="000000" w:themeColor="text1"/>
          <w:sz w:val="22"/>
          <w:szCs w:val="22"/>
          <w:lang w:val="it-IT"/>
        </w:rPr>
        <w:t xml:space="preserve">più </w:t>
      </w:r>
      <w:r w:rsidR="008E32E4" w:rsidRPr="000742FE">
        <w:rPr>
          <w:rFonts w:ascii="Trebuchet MS" w:hAnsi="Trebuchet MS" w:cstheme="minorHAnsi"/>
          <w:color w:val="000000" w:themeColor="text1"/>
          <w:sz w:val="22"/>
          <w:szCs w:val="22"/>
          <w:lang w:val="it-IT"/>
        </w:rPr>
        <w:t xml:space="preserve">ipilimumab in </w:t>
      </w:r>
      <w:r w:rsidR="000E06FC" w:rsidRPr="000742FE">
        <w:rPr>
          <w:rFonts w:ascii="Trebuchet MS" w:hAnsi="Trebuchet MS" w:cstheme="minorHAnsi"/>
          <w:color w:val="000000" w:themeColor="text1"/>
          <w:sz w:val="22"/>
          <w:szCs w:val="22"/>
          <w:lang w:val="it-IT"/>
        </w:rPr>
        <w:t xml:space="preserve">associazione </w:t>
      </w:r>
      <w:r w:rsidR="00A92AE3" w:rsidRPr="000742FE">
        <w:rPr>
          <w:rFonts w:ascii="Trebuchet MS" w:hAnsi="Trebuchet MS" w:cstheme="minorHAnsi"/>
          <w:color w:val="000000" w:themeColor="text1"/>
          <w:sz w:val="22"/>
          <w:szCs w:val="22"/>
          <w:lang w:val="it-IT"/>
        </w:rPr>
        <w:t>con</w:t>
      </w:r>
      <w:r w:rsidR="008E32E4" w:rsidRPr="000742FE">
        <w:rPr>
          <w:rFonts w:ascii="Trebuchet MS" w:hAnsi="Trebuchet MS" w:cstheme="minorHAnsi"/>
          <w:color w:val="000000" w:themeColor="text1"/>
          <w:sz w:val="22"/>
          <w:szCs w:val="22"/>
          <w:lang w:val="it-IT"/>
        </w:rPr>
        <w:t xml:space="preserve"> due cicli di chemioterapia hanno ridotto il rischio di morte del 3</w:t>
      </w:r>
      <w:r w:rsidR="001E5CAF" w:rsidRPr="000742FE">
        <w:rPr>
          <w:rFonts w:ascii="Trebuchet MS" w:hAnsi="Trebuchet MS" w:cstheme="minorHAnsi"/>
          <w:color w:val="000000" w:themeColor="text1"/>
          <w:sz w:val="22"/>
          <w:szCs w:val="22"/>
          <w:lang w:val="it-IT"/>
        </w:rPr>
        <w:t xml:space="preserve">1% </w:t>
      </w:r>
      <w:r w:rsidR="001C3AF5" w:rsidRPr="000742FE">
        <w:rPr>
          <w:rFonts w:ascii="Trebuchet MS" w:hAnsi="Trebuchet MS" w:cstheme="minorHAnsi"/>
          <w:color w:val="000000" w:themeColor="text1"/>
          <w:sz w:val="22"/>
          <w:szCs w:val="22"/>
          <w:lang w:val="it-IT"/>
        </w:rPr>
        <w:t>rispetto al</w:t>
      </w:r>
      <w:r w:rsidR="008E32E4" w:rsidRPr="000742FE">
        <w:rPr>
          <w:rFonts w:ascii="Trebuchet MS" w:hAnsi="Trebuchet MS" w:cstheme="minorHAnsi"/>
          <w:color w:val="000000" w:themeColor="text1"/>
          <w:sz w:val="22"/>
          <w:szCs w:val="22"/>
          <w:lang w:val="it-IT"/>
        </w:rPr>
        <w:t>la sola chemioterapia ad un foll</w:t>
      </w:r>
      <w:r w:rsidR="00A92AE3" w:rsidRPr="000742FE">
        <w:rPr>
          <w:rFonts w:ascii="Trebuchet MS" w:hAnsi="Trebuchet MS" w:cstheme="minorHAnsi"/>
          <w:color w:val="000000" w:themeColor="text1"/>
          <w:sz w:val="22"/>
          <w:szCs w:val="22"/>
          <w:lang w:val="it-IT"/>
        </w:rPr>
        <w:t>o</w:t>
      </w:r>
      <w:r w:rsidR="008E32E4" w:rsidRPr="000742FE">
        <w:rPr>
          <w:rFonts w:ascii="Trebuchet MS" w:hAnsi="Trebuchet MS" w:cstheme="minorHAnsi"/>
          <w:color w:val="000000" w:themeColor="text1"/>
          <w:sz w:val="22"/>
          <w:szCs w:val="22"/>
          <w:lang w:val="it-IT"/>
        </w:rPr>
        <w:t>w-up minimo di 8</w:t>
      </w:r>
      <w:r w:rsidR="001C3AF5" w:rsidRPr="000742FE">
        <w:rPr>
          <w:rFonts w:ascii="Trebuchet MS" w:hAnsi="Trebuchet MS" w:cstheme="minorHAnsi"/>
          <w:color w:val="000000" w:themeColor="text1"/>
          <w:sz w:val="22"/>
          <w:szCs w:val="22"/>
          <w:lang w:val="it-IT"/>
        </w:rPr>
        <w:t>,</w:t>
      </w:r>
      <w:r w:rsidR="008E32E4" w:rsidRPr="000742FE">
        <w:rPr>
          <w:rFonts w:ascii="Trebuchet MS" w:hAnsi="Trebuchet MS" w:cstheme="minorHAnsi"/>
          <w:color w:val="000000" w:themeColor="text1"/>
          <w:sz w:val="22"/>
          <w:szCs w:val="22"/>
          <w:lang w:val="it-IT"/>
        </w:rPr>
        <w:t>1 mesi</w:t>
      </w:r>
      <w:r w:rsidR="00FC7DB2" w:rsidRPr="000742FE">
        <w:rPr>
          <w:rFonts w:ascii="Trebuchet MS" w:hAnsi="Trebuchet MS" w:cstheme="minorHAnsi"/>
          <w:color w:val="000000" w:themeColor="text1"/>
          <w:sz w:val="22"/>
          <w:szCs w:val="22"/>
          <w:lang w:val="it-IT"/>
        </w:rPr>
        <w:t xml:space="preserve"> </w:t>
      </w:r>
      <w:r w:rsidR="00926E6E" w:rsidRPr="000742FE">
        <w:rPr>
          <w:rFonts w:ascii="Trebuchet MS" w:hAnsi="Trebuchet MS" w:cstheme="minorHAnsi"/>
          <w:color w:val="000000" w:themeColor="text1"/>
          <w:sz w:val="22"/>
          <w:szCs w:val="22"/>
          <w:lang w:val="it-IT"/>
        </w:rPr>
        <w:t>[</w:t>
      </w:r>
      <w:r w:rsidR="00792EEB" w:rsidRPr="000742FE">
        <w:rPr>
          <w:rFonts w:ascii="Trebuchet MS" w:hAnsi="Trebuchet MS" w:cstheme="minorHAnsi"/>
          <w:color w:val="000000" w:themeColor="text1"/>
          <w:sz w:val="22"/>
          <w:szCs w:val="22"/>
          <w:lang w:val="it-IT"/>
        </w:rPr>
        <w:t xml:space="preserve">Hazard Ratio </w:t>
      </w:r>
      <w:r w:rsidR="00926E6E" w:rsidRPr="000742FE">
        <w:rPr>
          <w:rFonts w:ascii="Trebuchet MS" w:hAnsi="Trebuchet MS" w:cstheme="minorHAnsi"/>
          <w:color w:val="000000" w:themeColor="text1"/>
          <w:sz w:val="22"/>
          <w:szCs w:val="22"/>
          <w:lang w:val="it-IT"/>
        </w:rPr>
        <w:t>(</w:t>
      </w:r>
      <w:r w:rsidR="00792EEB" w:rsidRPr="000742FE">
        <w:rPr>
          <w:rFonts w:ascii="Trebuchet MS" w:hAnsi="Trebuchet MS" w:cstheme="minorHAnsi"/>
          <w:color w:val="000000" w:themeColor="text1"/>
          <w:sz w:val="22"/>
          <w:szCs w:val="22"/>
          <w:lang w:val="it-IT"/>
        </w:rPr>
        <w:t>HR</w:t>
      </w:r>
      <w:r w:rsidR="00926E6E" w:rsidRPr="000742FE">
        <w:rPr>
          <w:rFonts w:ascii="Trebuchet MS" w:hAnsi="Trebuchet MS" w:cstheme="minorHAnsi"/>
          <w:color w:val="000000" w:themeColor="text1"/>
          <w:sz w:val="22"/>
          <w:szCs w:val="22"/>
          <w:lang w:val="it-IT"/>
        </w:rPr>
        <w:t>)</w:t>
      </w:r>
      <w:r w:rsidR="00792EEB" w:rsidRPr="000742FE">
        <w:rPr>
          <w:rFonts w:ascii="Trebuchet MS" w:hAnsi="Trebuchet MS" w:cstheme="minorHAnsi"/>
          <w:color w:val="000000" w:themeColor="text1"/>
          <w:sz w:val="22"/>
          <w:szCs w:val="22"/>
          <w:lang w:val="it-IT"/>
        </w:rPr>
        <w:t xml:space="preserve"> 0</w:t>
      </w:r>
      <w:r w:rsidR="001C3AF5" w:rsidRPr="000742FE">
        <w:rPr>
          <w:rFonts w:ascii="Trebuchet MS" w:hAnsi="Trebuchet MS" w:cstheme="minorHAnsi"/>
          <w:color w:val="000000" w:themeColor="text1"/>
          <w:sz w:val="22"/>
          <w:szCs w:val="22"/>
          <w:lang w:val="it-IT"/>
        </w:rPr>
        <w:t>,</w:t>
      </w:r>
      <w:r w:rsidR="00792EEB" w:rsidRPr="000742FE">
        <w:rPr>
          <w:rFonts w:ascii="Trebuchet MS" w:hAnsi="Trebuchet MS" w:cstheme="minorHAnsi"/>
          <w:color w:val="000000" w:themeColor="text1"/>
          <w:sz w:val="22"/>
          <w:szCs w:val="22"/>
          <w:lang w:val="it-IT"/>
        </w:rPr>
        <w:t xml:space="preserve">69, </w:t>
      </w:r>
      <w:r w:rsidR="00980DC6" w:rsidRPr="000742FE">
        <w:rPr>
          <w:rFonts w:ascii="Trebuchet MS" w:hAnsi="Trebuchet MS" w:cstheme="minorHAnsi"/>
          <w:color w:val="000000" w:themeColor="text1"/>
          <w:sz w:val="22"/>
          <w:szCs w:val="22"/>
          <w:lang w:val="it-IT"/>
        </w:rPr>
        <w:t xml:space="preserve">Confidence Interval (IC) </w:t>
      </w:r>
      <w:r w:rsidR="00792EEB" w:rsidRPr="000742FE">
        <w:rPr>
          <w:rFonts w:ascii="Trebuchet MS" w:hAnsi="Trebuchet MS" w:cstheme="minorHAnsi"/>
          <w:color w:val="000000" w:themeColor="text1"/>
          <w:sz w:val="22"/>
          <w:szCs w:val="22"/>
          <w:lang w:val="it-IT"/>
        </w:rPr>
        <w:t>96</w:t>
      </w:r>
      <w:r w:rsidR="001C3AF5" w:rsidRPr="000742FE">
        <w:rPr>
          <w:rFonts w:ascii="Trebuchet MS" w:hAnsi="Trebuchet MS" w:cstheme="minorHAnsi"/>
          <w:color w:val="000000" w:themeColor="text1"/>
          <w:sz w:val="22"/>
          <w:szCs w:val="22"/>
          <w:lang w:val="it-IT"/>
        </w:rPr>
        <w:t>,</w:t>
      </w:r>
      <w:r w:rsidR="00792EEB" w:rsidRPr="000742FE">
        <w:rPr>
          <w:rFonts w:ascii="Trebuchet MS" w:hAnsi="Trebuchet MS" w:cstheme="minorHAnsi"/>
          <w:color w:val="000000" w:themeColor="text1"/>
          <w:sz w:val="22"/>
          <w:szCs w:val="22"/>
          <w:lang w:val="it-IT"/>
        </w:rPr>
        <w:t>71%: 0</w:t>
      </w:r>
      <w:r w:rsidR="001C3AF5" w:rsidRPr="000742FE">
        <w:rPr>
          <w:rFonts w:ascii="Trebuchet MS" w:hAnsi="Trebuchet MS" w:cstheme="minorHAnsi"/>
          <w:color w:val="000000" w:themeColor="text1"/>
          <w:sz w:val="22"/>
          <w:szCs w:val="22"/>
          <w:lang w:val="it-IT"/>
        </w:rPr>
        <w:t>,</w:t>
      </w:r>
      <w:r w:rsidR="00792EEB" w:rsidRPr="000742FE">
        <w:rPr>
          <w:rFonts w:ascii="Trebuchet MS" w:hAnsi="Trebuchet MS" w:cstheme="minorHAnsi"/>
          <w:color w:val="000000" w:themeColor="text1"/>
          <w:sz w:val="22"/>
          <w:szCs w:val="22"/>
          <w:lang w:val="it-IT"/>
        </w:rPr>
        <w:t>55</w:t>
      </w:r>
      <w:r w:rsidR="00A44D9F" w:rsidRPr="000742FE">
        <w:rPr>
          <w:rFonts w:ascii="Trebuchet MS" w:hAnsi="Trebuchet MS" w:cstheme="minorHAnsi"/>
          <w:color w:val="000000" w:themeColor="text1"/>
          <w:sz w:val="22"/>
          <w:szCs w:val="22"/>
          <w:lang w:val="it-IT"/>
        </w:rPr>
        <w:t xml:space="preserve"> </w:t>
      </w:r>
      <w:r w:rsidR="00980DC6" w:rsidRPr="000742FE">
        <w:rPr>
          <w:rFonts w:ascii="Trebuchet MS" w:hAnsi="Trebuchet MS" w:cstheme="minorHAnsi"/>
          <w:color w:val="000000" w:themeColor="text1"/>
          <w:sz w:val="22"/>
          <w:szCs w:val="22"/>
          <w:lang w:val="it-IT"/>
        </w:rPr>
        <w:t>-</w:t>
      </w:r>
      <w:r w:rsidR="00A44D9F" w:rsidRPr="000742FE">
        <w:rPr>
          <w:rFonts w:ascii="Trebuchet MS" w:hAnsi="Trebuchet MS" w:cstheme="minorHAnsi"/>
          <w:color w:val="000000" w:themeColor="text1"/>
          <w:sz w:val="22"/>
          <w:szCs w:val="22"/>
          <w:lang w:val="it-IT"/>
        </w:rPr>
        <w:t xml:space="preserve"> </w:t>
      </w:r>
      <w:r w:rsidR="00792EEB" w:rsidRPr="000742FE">
        <w:rPr>
          <w:rFonts w:ascii="Trebuchet MS" w:hAnsi="Trebuchet MS" w:cstheme="minorHAnsi"/>
          <w:color w:val="000000" w:themeColor="text1"/>
          <w:sz w:val="22"/>
          <w:szCs w:val="22"/>
          <w:lang w:val="it-IT"/>
        </w:rPr>
        <w:t>0</w:t>
      </w:r>
      <w:r w:rsidR="001C3AF5" w:rsidRPr="000742FE">
        <w:rPr>
          <w:rFonts w:ascii="Trebuchet MS" w:hAnsi="Trebuchet MS" w:cstheme="minorHAnsi"/>
          <w:color w:val="000000" w:themeColor="text1"/>
          <w:sz w:val="22"/>
          <w:szCs w:val="22"/>
          <w:lang w:val="it-IT"/>
        </w:rPr>
        <w:t>,</w:t>
      </w:r>
      <w:r w:rsidR="00792EEB" w:rsidRPr="000742FE">
        <w:rPr>
          <w:rFonts w:ascii="Trebuchet MS" w:hAnsi="Trebuchet MS" w:cstheme="minorHAnsi"/>
          <w:color w:val="000000" w:themeColor="text1"/>
          <w:sz w:val="22"/>
          <w:szCs w:val="22"/>
          <w:lang w:val="it-IT"/>
        </w:rPr>
        <w:t>87; p=0</w:t>
      </w:r>
      <w:r w:rsidR="001C3AF5" w:rsidRPr="000742FE">
        <w:rPr>
          <w:rFonts w:ascii="Trebuchet MS" w:hAnsi="Trebuchet MS" w:cstheme="minorHAnsi"/>
          <w:color w:val="000000" w:themeColor="text1"/>
          <w:sz w:val="22"/>
          <w:szCs w:val="22"/>
          <w:lang w:val="it-IT"/>
        </w:rPr>
        <w:t>,</w:t>
      </w:r>
      <w:r w:rsidR="00792EEB" w:rsidRPr="000742FE">
        <w:rPr>
          <w:rFonts w:ascii="Trebuchet MS" w:hAnsi="Trebuchet MS" w:cstheme="minorHAnsi"/>
          <w:color w:val="000000" w:themeColor="text1"/>
          <w:sz w:val="22"/>
          <w:szCs w:val="22"/>
          <w:lang w:val="it-IT"/>
        </w:rPr>
        <w:t>0006</w:t>
      </w:r>
      <w:r w:rsidR="00926E6E" w:rsidRPr="000742FE">
        <w:rPr>
          <w:rFonts w:ascii="Trebuchet MS" w:hAnsi="Trebuchet MS" w:cstheme="minorHAnsi"/>
          <w:color w:val="000000" w:themeColor="text1"/>
          <w:sz w:val="22"/>
          <w:szCs w:val="22"/>
          <w:lang w:val="it-IT"/>
        </w:rPr>
        <w:t>]</w:t>
      </w:r>
      <w:r w:rsidR="00792EEB" w:rsidRPr="000742FE">
        <w:rPr>
          <w:rFonts w:ascii="Trebuchet MS" w:hAnsi="Trebuchet MS" w:cstheme="minorHAnsi"/>
          <w:color w:val="000000" w:themeColor="text1"/>
          <w:sz w:val="22"/>
          <w:szCs w:val="22"/>
          <w:lang w:val="it-IT"/>
        </w:rPr>
        <w:t xml:space="preserve">. </w:t>
      </w:r>
      <w:r w:rsidR="008E32E4" w:rsidRPr="000742FE">
        <w:rPr>
          <w:rFonts w:ascii="Trebuchet MS" w:hAnsi="Trebuchet MS" w:cstheme="minorHAnsi"/>
          <w:color w:val="000000" w:themeColor="text1"/>
          <w:sz w:val="22"/>
          <w:szCs w:val="22"/>
          <w:lang w:val="it-IT"/>
        </w:rPr>
        <w:t>Inoltre</w:t>
      </w:r>
      <w:r w:rsidR="00792EEB" w:rsidRPr="000742FE">
        <w:rPr>
          <w:rFonts w:ascii="Trebuchet MS" w:hAnsi="Trebuchet MS" w:cstheme="minorHAnsi"/>
          <w:color w:val="000000" w:themeColor="text1"/>
          <w:sz w:val="22"/>
          <w:szCs w:val="22"/>
          <w:lang w:val="it-IT"/>
        </w:rPr>
        <w:t xml:space="preserve">, </w:t>
      </w:r>
      <w:r w:rsidR="00BE5B64" w:rsidRPr="000742FE">
        <w:rPr>
          <w:rFonts w:ascii="Trebuchet MS" w:hAnsi="Trebuchet MS" w:cstheme="minorHAnsi"/>
          <w:color w:val="000000" w:themeColor="text1"/>
          <w:sz w:val="22"/>
          <w:szCs w:val="22"/>
          <w:lang w:val="it-IT"/>
        </w:rPr>
        <w:t>ad</w:t>
      </w:r>
      <w:r w:rsidR="00A53B4D" w:rsidRPr="000742FE">
        <w:rPr>
          <w:rFonts w:ascii="Trebuchet MS" w:hAnsi="Trebuchet MS" w:cstheme="minorHAnsi"/>
          <w:color w:val="000000" w:themeColor="text1"/>
          <w:sz w:val="22"/>
          <w:szCs w:val="22"/>
          <w:lang w:val="it-IT"/>
        </w:rPr>
        <w:t xml:space="preserve"> un follow-up prolungato</w:t>
      </w:r>
      <w:r w:rsidR="005B240D">
        <w:rPr>
          <w:rFonts w:ascii="Trebuchet MS" w:hAnsi="Trebuchet MS" w:cstheme="minorHAnsi"/>
          <w:color w:val="000000" w:themeColor="text1"/>
          <w:sz w:val="22"/>
          <w:szCs w:val="22"/>
          <w:lang w:val="it-IT"/>
        </w:rPr>
        <w:t xml:space="preserve"> </w:t>
      </w:r>
      <w:r w:rsidR="00792EEB" w:rsidRPr="000742FE">
        <w:rPr>
          <w:rFonts w:ascii="Trebuchet MS" w:hAnsi="Trebuchet MS" w:cstheme="minorHAnsi"/>
          <w:color w:val="000000" w:themeColor="text1"/>
          <w:sz w:val="22"/>
          <w:szCs w:val="22"/>
          <w:lang w:val="it-IT"/>
        </w:rPr>
        <w:t>(minim</w:t>
      </w:r>
      <w:r w:rsidR="00A53B4D" w:rsidRPr="000742FE">
        <w:rPr>
          <w:rFonts w:ascii="Trebuchet MS" w:hAnsi="Trebuchet MS" w:cstheme="minorHAnsi"/>
          <w:color w:val="000000" w:themeColor="text1"/>
          <w:sz w:val="22"/>
          <w:szCs w:val="22"/>
          <w:lang w:val="it-IT"/>
        </w:rPr>
        <w:t>o</w:t>
      </w:r>
      <w:r w:rsidR="00792EEB" w:rsidRPr="000742FE">
        <w:rPr>
          <w:rFonts w:ascii="Trebuchet MS" w:hAnsi="Trebuchet MS" w:cstheme="minorHAnsi"/>
          <w:color w:val="000000" w:themeColor="text1"/>
          <w:sz w:val="22"/>
          <w:szCs w:val="22"/>
          <w:lang w:val="it-IT"/>
        </w:rPr>
        <w:t xml:space="preserve"> 12</w:t>
      </w:r>
      <w:r w:rsidR="00980DC6" w:rsidRPr="000742FE">
        <w:rPr>
          <w:rFonts w:ascii="Trebuchet MS" w:hAnsi="Trebuchet MS" w:cstheme="minorHAnsi"/>
          <w:color w:val="000000" w:themeColor="text1"/>
          <w:sz w:val="22"/>
          <w:szCs w:val="22"/>
          <w:lang w:val="it-IT"/>
        </w:rPr>
        <w:t>,</w:t>
      </w:r>
      <w:r w:rsidR="00792EEB" w:rsidRPr="000742FE">
        <w:rPr>
          <w:rFonts w:ascii="Trebuchet MS" w:hAnsi="Trebuchet MS" w:cstheme="minorHAnsi"/>
          <w:color w:val="000000" w:themeColor="text1"/>
          <w:sz w:val="22"/>
          <w:szCs w:val="22"/>
          <w:lang w:val="it-IT"/>
        </w:rPr>
        <w:t>7 m</w:t>
      </w:r>
      <w:r w:rsidR="00A53B4D" w:rsidRPr="000742FE">
        <w:rPr>
          <w:rFonts w:ascii="Trebuchet MS" w:hAnsi="Trebuchet MS" w:cstheme="minorHAnsi"/>
          <w:color w:val="000000" w:themeColor="text1"/>
          <w:sz w:val="22"/>
          <w:szCs w:val="22"/>
          <w:lang w:val="it-IT"/>
        </w:rPr>
        <w:t>esi</w:t>
      </w:r>
      <w:r w:rsidR="00792EEB" w:rsidRPr="000742FE">
        <w:rPr>
          <w:rFonts w:ascii="Trebuchet MS" w:hAnsi="Trebuchet MS" w:cstheme="minorHAnsi"/>
          <w:color w:val="000000" w:themeColor="text1"/>
          <w:sz w:val="22"/>
          <w:szCs w:val="22"/>
          <w:lang w:val="it-IT"/>
        </w:rPr>
        <w:t>),</w:t>
      </w:r>
      <w:r w:rsidR="00C82EBC">
        <w:rPr>
          <w:rFonts w:ascii="Trebuchet MS" w:hAnsi="Trebuchet MS" w:cstheme="minorHAnsi"/>
          <w:color w:val="000000" w:themeColor="text1"/>
          <w:sz w:val="22"/>
          <w:szCs w:val="22"/>
          <w:lang w:val="it-IT"/>
        </w:rPr>
        <w:t xml:space="preserve"> </w:t>
      </w:r>
      <w:bookmarkStart w:id="0" w:name="_GoBack"/>
      <w:bookmarkEnd w:id="0"/>
      <w:r w:rsidR="000E06FC" w:rsidRPr="000742FE">
        <w:rPr>
          <w:rFonts w:ascii="Trebuchet MS" w:hAnsi="Trebuchet MS" w:cstheme="minorHAnsi"/>
          <w:color w:val="000000" w:themeColor="text1"/>
          <w:sz w:val="22"/>
          <w:szCs w:val="22"/>
          <w:lang w:val="it-IT"/>
        </w:rPr>
        <w:t>l’associazione</w:t>
      </w:r>
      <w:r w:rsidR="00A53B4D" w:rsidRPr="000742FE">
        <w:rPr>
          <w:rFonts w:ascii="Trebuchet MS" w:hAnsi="Trebuchet MS" w:cstheme="minorHAnsi"/>
          <w:color w:val="000000" w:themeColor="text1"/>
          <w:sz w:val="22"/>
          <w:szCs w:val="22"/>
          <w:lang w:val="it-IT"/>
        </w:rPr>
        <w:t xml:space="preserve"> ha continuato a mostrare </w:t>
      </w:r>
      <w:r w:rsidR="00A66719" w:rsidRPr="000742FE">
        <w:rPr>
          <w:rFonts w:ascii="Trebuchet MS" w:hAnsi="Trebuchet MS" w:cstheme="minorHAnsi"/>
          <w:color w:val="000000" w:themeColor="text1"/>
          <w:sz w:val="22"/>
          <w:szCs w:val="22"/>
          <w:lang w:val="it-IT"/>
        </w:rPr>
        <w:t xml:space="preserve">un </w:t>
      </w:r>
      <w:r w:rsidR="00A53B4D" w:rsidRPr="000742FE">
        <w:rPr>
          <w:rFonts w:ascii="Trebuchet MS" w:hAnsi="Trebuchet MS" w:cstheme="minorHAnsi"/>
          <w:color w:val="000000" w:themeColor="text1"/>
          <w:sz w:val="22"/>
          <w:szCs w:val="22"/>
          <w:lang w:val="it-IT"/>
        </w:rPr>
        <w:t>migliorament</w:t>
      </w:r>
      <w:r w:rsidR="00A66719" w:rsidRPr="000742FE">
        <w:rPr>
          <w:rFonts w:ascii="Trebuchet MS" w:hAnsi="Trebuchet MS" w:cstheme="minorHAnsi"/>
          <w:color w:val="000000" w:themeColor="text1"/>
          <w:sz w:val="22"/>
          <w:szCs w:val="22"/>
          <w:lang w:val="it-IT"/>
        </w:rPr>
        <w:t>o</w:t>
      </w:r>
      <w:r w:rsidR="00A53B4D" w:rsidRPr="000742FE">
        <w:rPr>
          <w:rFonts w:ascii="Trebuchet MS" w:hAnsi="Trebuchet MS" w:cstheme="minorHAnsi"/>
          <w:color w:val="000000" w:themeColor="text1"/>
          <w:sz w:val="22"/>
          <w:szCs w:val="22"/>
          <w:lang w:val="it-IT"/>
        </w:rPr>
        <w:t xml:space="preserve"> </w:t>
      </w:r>
      <w:r w:rsidR="00A66719" w:rsidRPr="000742FE">
        <w:rPr>
          <w:rFonts w:ascii="Trebuchet MS" w:hAnsi="Trebuchet MS" w:cstheme="minorHAnsi"/>
          <w:color w:val="000000" w:themeColor="text1"/>
          <w:sz w:val="22"/>
          <w:szCs w:val="22"/>
          <w:lang w:val="it-IT"/>
        </w:rPr>
        <w:t xml:space="preserve">duraturo della </w:t>
      </w:r>
      <w:r w:rsidR="001C3AF5" w:rsidRPr="000742FE">
        <w:rPr>
          <w:rFonts w:ascii="Trebuchet MS" w:hAnsi="Trebuchet MS" w:cstheme="minorHAnsi"/>
          <w:color w:val="000000" w:themeColor="text1"/>
          <w:sz w:val="22"/>
          <w:szCs w:val="22"/>
          <w:lang w:val="it-IT"/>
        </w:rPr>
        <w:t>sopravvivenza globale</w:t>
      </w:r>
      <w:r w:rsidR="00792EEB" w:rsidRPr="000742FE">
        <w:rPr>
          <w:rFonts w:ascii="Trebuchet MS" w:hAnsi="Trebuchet MS" w:cstheme="minorHAnsi"/>
          <w:color w:val="000000" w:themeColor="text1"/>
          <w:sz w:val="22"/>
          <w:szCs w:val="22"/>
          <w:lang w:val="it-IT"/>
        </w:rPr>
        <w:t xml:space="preserve"> </w:t>
      </w:r>
      <w:r w:rsidR="00A53B4D" w:rsidRPr="000742FE">
        <w:rPr>
          <w:rFonts w:ascii="Trebuchet MS" w:hAnsi="Trebuchet MS" w:cstheme="minorHAnsi"/>
          <w:color w:val="000000" w:themeColor="text1"/>
          <w:sz w:val="22"/>
          <w:szCs w:val="22"/>
          <w:lang w:val="it-IT"/>
        </w:rPr>
        <w:t>rispetto alla sola chemioterapia (</w:t>
      </w:r>
      <w:r w:rsidR="00792EEB" w:rsidRPr="000742FE">
        <w:rPr>
          <w:rFonts w:ascii="Trebuchet MS" w:hAnsi="Trebuchet MS" w:cstheme="minorHAnsi"/>
          <w:color w:val="000000" w:themeColor="text1"/>
          <w:sz w:val="22"/>
          <w:szCs w:val="22"/>
          <w:lang w:val="it-IT"/>
        </w:rPr>
        <w:t xml:space="preserve">OS </w:t>
      </w:r>
      <w:r w:rsidR="00A53B4D" w:rsidRPr="000742FE">
        <w:rPr>
          <w:rFonts w:ascii="Trebuchet MS" w:hAnsi="Trebuchet MS" w:cstheme="minorHAnsi"/>
          <w:color w:val="000000" w:themeColor="text1"/>
          <w:sz w:val="22"/>
          <w:szCs w:val="22"/>
          <w:lang w:val="it-IT"/>
        </w:rPr>
        <w:t>mediana di</w:t>
      </w:r>
      <w:r w:rsidR="00792EEB" w:rsidRPr="000742FE">
        <w:rPr>
          <w:rFonts w:ascii="Trebuchet MS" w:hAnsi="Trebuchet MS" w:cstheme="minorHAnsi"/>
          <w:color w:val="000000" w:themeColor="text1"/>
          <w:sz w:val="22"/>
          <w:szCs w:val="22"/>
          <w:lang w:val="it-IT"/>
        </w:rPr>
        <w:t xml:space="preserve"> 15</w:t>
      </w:r>
      <w:r w:rsidR="001D40D5" w:rsidRPr="000742FE">
        <w:rPr>
          <w:rFonts w:ascii="Trebuchet MS" w:hAnsi="Trebuchet MS" w:cstheme="minorHAnsi"/>
          <w:color w:val="000000" w:themeColor="text1"/>
          <w:sz w:val="22"/>
          <w:szCs w:val="22"/>
          <w:lang w:val="it-IT"/>
        </w:rPr>
        <w:t>,</w:t>
      </w:r>
      <w:r w:rsidR="00792EEB" w:rsidRPr="000742FE">
        <w:rPr>
          <w:rFonts w:ascii="Trebuchet MS" w:hAnsi="Trebuchet MS" w:cstheme="minorHAnsi"/>
          <w:color w:val="000000" w:themeColor="text1"/>
          <w:sz w:val="22"/>
          <w:szCs w:val="22"/>
          <w:lang w:val="it-IT"/>
        </w:rPr>
        <w:t xml:space="preserve">6 </w:t>
      </w:r>
      <w:r w:rsidR="00A53B4D" w:rsidRPr="000742FE">
        <w:rPr>
          <w:rFonts w:ascii="Trebuchet MS" w:hAnsi="Trebuchet MS" w:cstheme="minorHAnsi"/>
          <w:color w:val="000000" w:themeColor="text1"/>
          <w:sz w:val="22"/>
          <w:szCs w:val="22"/>
          <w:lang w:val="it-IT"/>
        </w:rPr>
        <w:t>mesi</w:t>
      </w:r>
      <w:r w:rsidR="00792EEB" w:rsidRPr="000742FE">
        <w:rPr>
          <w:rFonts w:ascii="Trebuchet MS" w:hAnsi="Trebuchet MS" w:cstheme="minorHAnsi"/>
          <w:color w:val="000000" w:themeColor="text1"/>
          <w:sz w:val="22"/>
          <w:szCs w:val="22"/>
          <w:lang w:val="it-IT"/>
        </w:rPr>
        <w:t xml:space="preserve"> </w:t>
      </w:r>
      <w:r w:rsidR="00BE5B64" w:rsidRPr="000742FE">
        <w:rPr>
          <w:rFonts w:ascii="Trebuchet MS" w:hAnsi="Trebuchet MS" w:cstheme="minorHAnsi"/>
          <w:color w:val="000000" w:themeColor="text1"/>
          <w:sz w:val="22"/>
          <w:szCs w:val="22"/>
          <w:lang w:val="it-IT"/>
        </w:rPr>
        <w:t>rispetto a</w:t>
      </w:r>
      <w:r w:rsidR="00792EEB" w:rsidRPr="000742FE">
        <w:rPr>
          <w:rFonts w:ascii="Trebuchet MS" w:hAnsi="Trebuchet MS" w:cstheme="minorHAnsi"/>
          <w:color w:val="000000" w:themeColor="text1"/>
          <w:sz w:val="22"/>
          <w:szCs w:val="22"/>
          <w:lang w:val="it-IT"/>
        </w:rPr>
        <w:t xml:space="preserve"> 10</w:t>
      </w:r>
      <w:r w:rsidR="001D40D5" w:rsidRPr="000742FE">
        <w:rPr>
          <w:rFonts w:ascii="Trebuchet MS" w:hAnsi="Trebuchet MS" w:cstheme="minorHAnsi"/>
          <w:color w:val="000000" w:themeColor="text1"/>
          <w:sz w:val="22"/>
          <w:szCs w:val="22"/>
          <w:lang w:val="it-IT"/>
        </w:rPr>
        <w:t>,</w:t>
      </w:r>
      <w:r w:rsidR="00792EEB" w:rsidRPr="000742FE">
        <w:rPr>
          <w:rFonts w:ascii="Trebuchet MS" w:hAnsi="Trebuchet MS" w:cstheme="minorHAnsi"/>
          <w:color w:val="000000" w:themeColor="text1"/>
          <w:sz w:val="22"/>
          <w:szCs w:val="22"/>
          <w:lang w:val="it-IT"/>
        </w:rPr>
        <w:t>9 m</w:t>
      </w:r>
      <w:r w:rsidR="00A53B4D" w:rsidRPr="000742FE">
        <w:rPr>
          <w:rFonts w:ascii="Trebuchet MS" w:hAnsi="Trebuchet MS" w:cstheme="minorHAnsi"/>
          <w:color w:val="000000" w:themeColor="text1"/>
          <w:sz w:val="22"/>
          <w:szCs w:val="22"/>
          <w:lang w:val="it-IT"/>
        </w:rPr>
        <w:t>esi</w:t>
      </w:r>
      <w:r w:rsidR="00792EEB" w:rsidRPr="000742FE">
        <w:rPr>
          <w:rFonts w:ascii="Trebuchet MS" w:hAnsi="Trebuchet MS" w:cstheme="minorHAnsi"/>
          <w:color w:val="000000" w:themeColor="text1"/>
          <w:sz w:val="22"/>
          <w:szCs w:val="22"/>
          <w:lang w:val="it-IT"/>
        </w:rPr>
        <w:t>, r</w:t>
      </w:r>
      <w:r w:rsidR="00A53B4D" w:rsidRPr="000742FE">
        <w:rPr>
          <w:rFonts w:ascii="Trebuchet MS" w:hAnsi="Trebuchet MS" w:cstheme="minorHAnsi"/>
          <w:color w:val="000000" w:themeColor="text1"/>
          <w:sz w:val="22"/>
          <w:szCs w:val="22"/>
          <w:lang w:val="it-IT"/>
        </w:rPr>
        <w:t>ispettivamente</w:t>
      </w:r>
      <w:r w:rsidR="00792EEB" w:rsidRPr="000742FE">
        <w:rPr>
          <w:rFonts w:ascii="Trebuchet MS" w:hAnsi="Trebuchet MS" w:cstheme="minorHAnsi"/>
          <w:color w:val="000000" w:themeColor="text1"/>
          <w:sz w:val="22"/>
          <w:szCs w:val="22"/>
          <w:lang w:val="it-IT"/>
        </w:rPr>
        <w:t xml:space="preserve"> </w:t>
      </w:r>
      <w:r w:rsidR="00506311" w:rsidRPr="000742FE">
        <w:rPr>
          <w:rFonts w:ascii="Trebuchet MS" w:hAnsi="Trebuchet MS" w:cstheme="minorHAnsi"/>
          <w:color w:val="000000" w:themeColor="text1"/>
          <w:sz w:val="22"/>
          <w:szCs w:val="22"/>
          <w:lang w:val="it-IT"/>
        </w:rPr>
        <w:t>[</w:t>
      </w:r>
      <w:r w:rsidR="00792EEB" w:rsidRPr="000742FE">
        <w:rPr>
          <w:rFonts w:ascii="Trebuchet MS" w:hAnsi="Trebuchet MS" w:cstheme="minorHAnsi"/>
          <w:color w:val="000000" w:themeColor="text1"/>
          <w:sz w:val="22"/>
          <w:szCs w:val="22"/>
          <w:lang w:val="it-IT"/>
        </w:rPr>
        <w:t>HR 0</w:t>
      </w:r>
      <w:r w:rsidR="001C3AF5" w:rsidRPr="000742FE">
        <w:rPr>
          <w:rFonts w:ascii="Trebuchet MS" w:hAnsi="Trebuchet MS" w:cstheme="minorHAnsi"/>
          <w:color w:val="000000" w:themeColor="text1"/>
          <w:sz w:val="22"/>
          <w:szCs w:val="22"/>
          <w:lang w:val="it-IT"/>
        </w:rPr>
        <w:t>,</w:t>
      </w:r>
      <w:r w:rsidR="00792EEB" w:rsidRPr="000742FE">
        <w:rPr>
          <w:rFonts w:ascii="Trebuchet MS" w:hAnsi="Trebuchet MS" w:cstheme="minorHAnsi"/>
          <w:color w:val="000000" w:themeColor="text1"/>
          <w:sz w:val="22"/>
          <w:szCs w:val="22"/>
          <w:lang w:val="it-IT"/>
        </w:rPr>
        <w:t>66,</w:t>
      </w:r>
      <w:r w:rsidR="00980DC6" w:rsidRPr="000742FE">
        <w:rPr>
          <w:rFonts w:ascii="Trebuchet MS" w:hAnsi="Trebuchet MS" w:cstheme="minorHAnsi"/>
          <w:color w:val="000000" w:themeColor="text1"/>
          <w:sz w:val="22"/>
          <w:szCs w:val="22"/>
          <w:lang w:val="it-IT"/>
        </w:rPr>
        <w:t xml:space="preserve"> IC</w:t>
      </w:r>
      <w:r w:rsidR="00792EEB" w:rsidRPr="000742FE">
        <w:rPr>
          <w:rFonts w:ascii="Trebuchet MS" w:hAnsi="Trebuchet MS" w:cstheme="minorHAnsi"/>
          <w:color w:val="000000" w:themeColor="text1"/>
          <w:sz w:val="22"/>
          <w:szCs w:val="22"/>
          <w:lang w:val="it-IT"/>
        </w:rPr>
        <w:t xml:space="preserve"> 95%: 0</w:t>
      </w:r>
      <w:r w:rsidR="001C3AF5" w:rsidRPr="000742FE">
        <w:rPr>
          <w:rFonts w:ascii="Trebuchet MS" w:hAnsi="Trebuchet MS" w:cstheme="minorHAnsi"/>
          <w:color w:val="000000" w:themeColor="text1"/>
          <w:sz w:val="22"/>
          <w:szCs w:val="22"/>
          <w:lang w:val="it-IT"/>
        </w:rPr>
        <w:t>,</w:t>
      </w:r>
      <w:r w:rsidR="00792EEB" w:rsidRPr="000742FE">
        <w:rPr>
          <w:rFonts w:ascii="Trebuchet MS" w:hAnsi="Trebuchet MS" w:cstheme="minorHAnsi"/>
          <w:color w:val="000000" w:themeColor="text1"/>
          <w:sz w:val="22"/>
          <w:szCs w:val="22"/>
          <w:lang w:val="it-IT"/>
        </w:rPr>
        <w:t>55–0</w:t>
      </w:r>
      <w:r w:rsidR="001C3AF5" w:rsidRPr="000742FE">
        <w:rPr>
          <w:rFonts w:ascii="Trebuchet MS" w:hAnsi="Trebuchet MS" w:cstheme="minorHAnsi"/>
          <w:color w:val="000000" w:themeColor="text1"/>
          <w:sz w:val="22"/>
          <w:szCs w:val="22"/>
          <w:lang w:val="it-IT"/>
        </w:rPr>
        <w:t>,</w:t>
      </w:r>
      <w:r w:rsidR="00792EEB" w:rsidRPr="000742FE">
        <w:rPr>
          <w:rFonts w:ascii="Trebuchet MS" w:hAnsi="Trebuchet MS" w:cstheme="minorHAnsi"/>
          <w:color w:val="000000" w:themeColor="text1"/>
          <w:sz w:val="22"/>
          <w:szCs w:val="22"/>
          <w:lang w:val="it-IT"/>
        </w:rPr>
        <w:t>80</w:t>
      </w:r>
      <w:r w:rsidR="00506311" w:rsidRPr="000742FE">
        <w:rPr>
          <w:rFonts w:ascii="Trebuchet MS" w:hAnsi="Trebuchet MS" w:cstheme="minorHAnsi"/>
          <w:color w:val="000000" w:themeColor="text1"/>
          <w:sz w:val="22"/>
          <w:szCs w:val="22"/>
          <w:lang w:val="it-IT"/>
        </w:rPr>
        <w:t>]</w:t>
      </w:r>
      <w:r w:rsidR="00792EEB" w:rsidRPr="000742FE">
        <w:rPr>
          <w:rFonts w:ascii="Trebuchet MS" w:hAnsi="Trebuchet MS" w:cstheme="minorHAnsi"/>
          <w:color w:val="000000" w:themeColor="text1"/>
          <w:sz w:val="22"/>
          <w:szCs w:val="22"/>
          <w:lang w:val="it-IT"/>
        </w:rPr>
        <w:t>).</w:t>
      </w:r>
      <w:r w:rsidR="00015D1C">
        <w:rPr>
          <w:rFonts w:ascii="Trebuchet MS" w:hAnsi="Trebuchet MS" w:cstheme="minorHAnsi"/>
          <w:color w:val="000000" w:themeColor="text1"/>
          <w:sz w:val="22"/>
          <w:szCs w:val="22"/>
          <w:lang w:val="it-IT"/>
        </w:rPr>
        <w:t xml:space="preserve"> </w:t>
      </w:r>
      <w:r w:rsidR="00A53B4D" w:rsidRPr="000742FE">
        <w:rPr>
          <w:rFonts w:ascii="Trebuchet MS" w:hAnsi="Trebuchet MS" w:cstheme="minorHAnsi"/>
          <w:color w:val="000000" w:themeColor="text1"/>
          <w:sz w:val="22"/>
          <w:szCs w:val="22"/>
          <w:lang w:val="it-IT"/>
        </w:rPr>
        <w:t>Il</w:t>
      </w:r>
      <w:r w:rsidR="00015D1C">
        <w:rPr>
          <w:rFonts w:ascii="Trebuchet MS" w:hAnsi="Trebuchet MS" w:cstheme="minorHAnsi"/>
          <w:color w:val="000000" w:themeColor="text1"/>
          <w:sz w:val="22"/>
          <w:szCs w:val="22"/>
          <w:lang w:val="it-IT"/>
        </w:rPr>
        <w:t xml:space="preserve"> </w:t>
      </w:r>
      <w:r w:rsidR="00A53B4D" w:rsidRPr="000742FE">
        <w:rPr>
          <w:rFonts w:ascii="Trebuchet MS" w:hAnsi="Trebuchet MS" w:cstheme="minorHAnsi"/>
          <w:color w:val="000000" w:themeColor="text1"/>
          <w:sz w:val="22"/>
          <w:szCs w:val="22"/>
          <w:lang w:val="it-IT"/>
        </w:rPr>
        <w:t xml:space="preserve">beneficio clinico è stato osservato in tutte le </w:t>
      </w:r>
      <w:r w:rsidR="00E9606E" w:rsidRPr="000742FE">
        <w:rPr>
          <w:rFonts w:ascii="Trebuchet MS" w:hAnsi="Trebuchet MS" w:cstheme="minorHAnsi"/>
          <w:color w:val="000000" w:themeColor="text1"/>
          <w:sz w:val="22"/>
          <w:szCs w:val="22"/>
          <w:lang w:val="it-IT"/>
        </w:rPr>
        <w:t xml:space="preserve">valutazioni </w:t>
      </w:r>
      <w:r w:rsidR="00A53B4D" w:rsidRPr="000742FE">
        <w:rPr>
          <w:rFonts w:ascii="Trebuchet MS" w:hAnsi="Trebuchet MS" w:cstheme="minorHAnsi"/>
          <w:color w:val="000000" w:themeColor="text1"/>
          <w:sz w:val="22"/>
          <w:szCs w:val="22"/>
          <w:lang w:val="it-IT"/>
        </w:rPr>
        <w:t>di efficacia</w:t>
      </w:r>
      <w:r w:rsidR="00792EEB" w:rsidRPr="000742FE">
        <w:rPr>
          <w:rFonts w:ascii="Trebuchet MS" w:hAnsi="Trebuchet MS" w:cstheme="minorHAnsi"/>
          <w:color w:val="000000" w:themeColor="text1"/>
          <w:sz w:val="22"/>
          <w:szCs w:val="22"/>
          <w:lang w:val="it-IT"/>
        </w:rPr>
        <w:t xml:space="preserve"> </w:t>
      </w:r>
      <w:r w:rsidR="00E9606E" w:rsidRPr="000742FE">
        <w:rPr>
          <w:rFonts w:ascii="Trebuchet MS" w:hAnsi="Trebuchet MS" w:cstheme="minorHAnsi"/>
          <w:color w:val="000000" w:themeColor="text1"/>
          <w:sz w:val="22"/>
          <w:szCs w:val="22"/>
          <w:lang w:val="it-IT"/>
        </w:rPr>
        <w:t xml:space="preserve">dei </w:t>
      </w:r>
      <w:r w:rsidR="00A53B4D" w:rsidRPr="000742FE">
        <w:rPr>
          <w:rFonts w:ascii="Trebuchet MS" w:hAnsi="Trebuchet MS" w:cstheme="minorHAnsi"/>
          <w:color w:val="000000" w:themeColor="text1"/>
          <w:sz w:val="22"/>
          <w:szCs w:val="22"/>
          <w:lang w:val="it-IT"/>
        </w:rPr>
        <w:t xml:space="preserve">sottogruppi chiave di </w:t>
      </w:r>
      <w:r w:rsidR="00A53B4D" w:rsidRPr="000742FE">
        <w:rPr>
          <w:rFonts w:ascii="Trebuchet MS" w:hAnsi="Trebuchet MS" w:cstheme="minorHAnsi"/>
          <w:color w:val="000000" w:themeColor="text1"/>
          <w:sz w:val="22"/>
          <w:szCs w:val="22"/>
          <w:lang w:val="it-IT"/>
        </w:rPr>
        <w:lastRenderedPageBreak/>
        <w:t>popolazione</w:t>
      </w:r>
      <w:r w:rsidR="00792EEB" w:rsidRPr="000742FE">
        <w:rPr>
          <w:rFonts w:ascii="Trebuchet MS" w:hAnsi="Trebuchet MS" w:cstheme="minorHAnsi"/>
          <w:color w:val="000000" w:themeColor="text1"/>
          <w:sz w:val="22"/>
          <w:szCs w:val="22"/>
          <w:lang w:val="it-IT"/>
        </w:rPr>
        <w:t xml:space="preserve">, </w:t>
      </w:r>
      <w:r w:rsidR="00A53B4D" w:rsidRPr="000742FE">
        <w:rPr>
          <w:rFonts w:ascii="Trebuchet MS" w:hAnsi="Trebuchet MS" w:cstheme="minorHAnsi"/>
          <w:color w:val="000000" w:themeColor="text1"/>
          <w:sz w:val="22"/>
          <w:szCs w:val="22"/>
          <w:lang w:val="it-IT"/>
        </w:rPr>
        <w:t xml:space="preserve">che comprendevano l’espressione di </w:t>
      </w:r>
      <w:r w:rsidR="00792EEB" w:rsidRPr="000742FE">
        <w:rPr>
          <w:rFonts w:ascii="Trebuchet MS" w:hAnsi="Trebuchet MS" w:cstheme="minorHAnsi"/>
          <w:color w:val="000000" w:themeColor="text1"/>
          <w:sz w:val="22"/>
          <w:szCs w:val="22"/>
          <w:lang w:val="it-IT"/>
        </w:rPr>
        <w:t xml:space="preserve">PD-L1 </w:t>
      </w:r>
      <w:r w:rsidR="00A53B4D" w:rsidRPr="000742FE">
        <w:rPr>
          <w:rFonts w:ascii="Trebuchet MS" w:hAnsi="Trebuchet MS" w:cstheme="minorHAnsi"/>
          <w:color w:val="000000" w:themeColor="text1"/>
          <w:sz w:val="22"/>
          <w:szCs w:val="22"/>
          <w:lang w:val="it-IT"/>
        </w:rPr>
        <w:t xml:space="preserve">e l’istologia del tumore </w:t>
      </w:r>
      <w:r w:rsidR="001E5CAF" w:rsidRPr="000742FE">
        <w:rPr>
          <w:rFonts w:ascii="Trebuchet MS" w:hAnsi="Trebuchet MS" w:cstheme="minorHAnsi"/>
          <w:color w:val="000000" w:themeColor="text1"/>
          <w:sz w:val="22"/>
          <w:szCs w:val="22"/>
          <w:lang w:val="it-IT"/>
        </w:rPr>
        <w:t>(squamos</w:t>
      </w:r>
      <w:r w:rsidR="00A53B4D" w:rsidRPr="000742FE">
        <w:rPr>
          <w:rFonts w:ascii="Trebuchet MS" w:hAnsi="Trebuchet MS" w:cstheme="minorHAnsi"/>
          <w:color w:val="000000" w:themeColor="text1"/>
          <w:sz w:val="22"/>
          <w:szCs w:val="22"/>
          <w:lang w:val="it-IT"/>
        </w:rPr>
        <w:t>o</w:t>
      </w:r>
      <w:r w:rsidR="001E5CAF" w:rsidRPr="000742FE">
        <w:rPr>
          <w:rFonts w:ascii="Trebuchet MS" w:hAnsi="Trebuchet MS" w:cstheme="minorHAnsi"/>
          <w:color w:val="000000" w:themeColor="text1"/>
          <w:sz w:val="22"/>
          <w:szCs w:val="22"/>
          <w:lang w:val="it-IT"/>
        </w:rPr>
        <w:t xml:space="preserve"> o non-squamo</w:t>
      </w:r>
      <w:r w:rsidR="0061703E" w:rsidRPr="000742FE">
        <w:rPr>
          <w:rFonts w:ascii="Trebuchet MS" w:hAnsi="Trebuchet MS" w:cstheme="minorHAnsi"/>
          <w:color w:val="000000" w:themeColor="text1"/>
          <w:sz w:val="22"/>
          <w:szCs w:val="22"/>
          <w:lang w:val="it-IT"/>
        </w:rPr>
        <w:t>so</w:t>
      </w:r>
      <w:r w:rsidR="001E5CAF" w:rsidRPr="000742FE">
        <w:rPr>
          <w:rFonts w:ascii="Trebuchet MS" w:hAnsi="Trebuchet MS" w:cstheme="minorHAnsi"/>
          <w:color w:val="000000" w:themeColor="text1"/>
          <w:sz w:val="22"/>
          <w:szCs w:val="22"/>
          <w:lang w:val="it-IT"/>
        </w:rPr>
        <w:t>)</w:t>
      </w:r>
      <w:r w:rsidR="00792EEB" w:rsidRPr="000742FE">
        <w:rPr>
          <w:rFonts w:ascii="Trebuchet MS" w:hAnsi="Trebuchet MS" w:cstheme="minorHAnsi"/>
          <w:color w:val="000000" w:themeColor="text1"/>
          <w:sz w:val="22"/>
          <w:szCs w:val="22"/>
          <w:lang w:val="it-IT"/>
        </w:rPr>
        <w:t>.</w:t>
      </w:r>
    </w:p>
    <w:p w14:paraId="1EAE6F56" w14:textId="750E9298" w:rsidR="00792EEB" w:rsidRPr="000742FE" w:rsidRDefault="0061703E" w:rsidP="00B85040">
      <w:pPr>
        <w:spacing w:line="360" w:lineRule="auto"/>
        <w:ind w:firstLine="720"/>
        <w:jc w:val="both"/>
        <w:rPr>
          <w:rFonts w:ascii="Trebuchet MS" w:hAnsi="Trebuchet MS" w:cstheme="minorHAnsi"/>
          <w:color w:val="000000" w:themeColor="text1"/>
          <w:sz w:val="22"/>
          <w:szCs w:val="22"/>
          <w:lang w:val="it-IT"/>
        </w:rPr>
      </w:pPr>
      <w:bookmarkStart w:id="1" w:name="_Hlk38490337"/>
      <w:bookmarkEnd w:id="1"/>
      <w:r w:rsidRPr="000742FE">
        <w:rPr>
          <w:rFonts w:ascii="Trebuchet MS" w:hAnsi="Trebuchet MS" w:cstheme="minorHAnsi"/>
          <w:color w:val="000000" w:themeColor="text1"/>
          <w:sz w:val="22"/>
          <w:szCs w:val="22"/>
          <w:lang w:val="it-IT"/>
        </w:rPr>
        <w:t xml:space="preserve">Il profilo di sicurezza di nivolumab </w:t>
      </w:r>
      <w:r w:rsidR="00E914E4" w:rsidRPr="000742FE">
        <w:rPr>
          <w:rFonts w:ascii="Trebuchet MS" w:hAnsi="Trebuchet MS" w:cstheme="minorHAnsi"/>
          <w:color w:val="000000" w:themeColor="text1"/>
          <w:sz w:val="22"/>
          <w:szCs w:val="22"/>
          <w:lang w:val="it-IT"/>
        </w:rPr>
        <w:t xml:space="preserve">(360 mg </w:t>
      </w:r>
      <w:r w:rsidRPr="000742FE">
        <w:rPr>
          <w:rFonts w:ascii="Trebuchet MS" w:hAnsi="Trebuchet MS" w:cstheme="minorHAnsi"/>
          <w:color w:val="000000" w:themeColor="text1"/>
          <w:sz w:val="22"/>
          <w:szCs w:val="22"/>
          <w:lang w:val="it-IT"/>
        </w:rPr>
        <w:t>ogni tre settimane</w:t>
      </w:r>
      <w:r w:rsidR="00E914E4" w:rsidRPr="000742FE">
        <w:rPr>
          <w:rFonts w:ascii="Trebuchet MS" w:hAnsi="Trebuchet MS" w:cstheme="minorHAnsi"/>
          <w:color w:val="000000" w:themeColor="text1"/>
          <w:sz w:val="22"/>
          <w:szCs w:val="22"/>
          <w:lang w:val="it-IT"/>
        </w:rPr>
        <w:t xml:space="preserve">) </w:t>
      </w:r>
      <w:r w:rsidR="000E06FC" w:rsidRPr="000742FE">
        <w:rPr>
          <w:rFonts w:ascii="Trebuchet MS" w:hAnsi="Trebuchet MS" w:cstheme="minorHAnsi"/>
          <w:color w:val="000000" w:themeColor="text1"/>
          <w:sz w:val="22"/>
          <w:szCs w:val="22"/>
          <w:lang w:val="it-IT"/>
        </w:rPr>
        <w:t>più</w:t>
      </w:r>
      <w:r w:rsidRPr="000742FE">
        <w:rPr>
          <w:rFonts w:ascii="Trebuchet MS" w:hAnsi="Trebuchet MS" w:cstheme="minorHAnsi"/>
          <w:color w:val="000000" w:themeColor="text1"/>
          <w:sz w:val="22"/>
          <w:szCs w:val="22"/>
          <w:lang w:val="it-IT"/>
        </w:rPr>
        <w:t xml:space="preserve"> ipilimumab </w:t>
      </w:r>
      <w:r w:rsidR="00E914E4" w:rsidRPr="000742FE">
        <w:rPr>
          <w:rFonts w:ascii="Trebuchet MS" w:hAnsi="Trebuchet MS" w:cstheme="minorHAnsi"/>
          <w:color w:val="000000" w:themeColor="text1"/>
          <w:sz w:val="22"/>
          <w:szCs w:val="22"/>
          <w:lang w:val="it-IT"/>
        </w:rPr>
        <w:t xml:space="preserve">(1 mg/kg </w:t>
      </w:r>
      <w:r w:rsidRPr="000742FE">
        <w:rPr>
          <w:rFonts w:ascii="Trebuchet MS" w:hAnsi="Trebuchet MS" w:cstheme="minorHAnsi"/>
          <w:color w:val="000000" w:themeColor="text1"/>
          <w:sz w:val="22"/>
          <w:szCs w:val="22"/>
          <w:lang w:val="it-IT"/>
        </w:rPr>
        <w:t>ogni sei settimane</w:t>
      </w:r>
      <w:r w:rsidR="00E914E4" w:rsidRPr="000742FE">
        <w:rPr>
          <w:rFonts w:ascii="Trebuchet MS" w:hAnsi="Trebuchet MS" w:cstheme="minorHAnsi"/>
          <w:color w:val="000000" w:themeColor="text1"/>
          <w:sz w:val="22"/>
          <w:szCs w:val="22"/>
          <w:lang w:val="it-IT"/>
        </w:rPr>
        <w:t xml:space="preserve">) </w:t>
      </w:r>
      <w:r w:rsidRPr="000742FE">
        <w:rPr>
          <w:rFonts w:ascii="Trebuchet MS" w:hAnsi="Trebuchet MS" w:cstheme="minorHAnsi"/>
          <w:color w:val="000000" w:themeColor="text1"/>
          <w:sz w:val="22"/>
          <w:szCs w:val="22"/>
          <w:lang w:val="it-IT"/>
        </w:rPr>
        <w:t>in aggiunta a due cicli di chemiote</w:t>
      </w:r>
      <w:r w:rsidR="000712F0" w:rsidRPr="000742FE">
        <w:rPr>
          <w:rFonts w:ascii="Trebuchet MS" w:hAnsi="Trebuchet MS" w:cstheme="minorHAnsi"/>
          <w:color w:val="000000" w:themeColor="text1"/>
          <w:sz w:val="22"/>
          <w:szCs w:val="22"/>
          <w:lang w:val="it-IT"/>
        </w:rPr>
        <w:t xml:space="preserve">rapia era </w:t>
      </w:r>
      <w:r w:rsidR="00A92AE3" w:rsidRPr="000742FE">
        <w:rPr>
          <w:rFonts w:ascii="Trebuchet MS" w:hAnsi="Trebuchet MS" w:cstheme="minorHAnsi"/>
          <w:color w:val="000000" w:themeColor="text1"/>
          <w:sz w:val="22"/>
          <w:szCs w:val="22"/>
          <w:lang w:val="it-IT"/>
        </w:rPr>
        <w:t>in linea con i</w:t>
      </w:r>
      <w:r w:rsidR="000712F0" w:rsidRPr="000742FE">
        <w:rPr>
          <w:rFonts w:ascii="Trebuchet MS" w:hAnsi="Trebuchet MS" w:cstheme="minorHAnsi"/>
          <w:color w:val="000000" w:themeColor="text1"/>
          <w:sz w:val="22"/>
          <w:szCs w:val="22"/>
          <w:lang w:val="it-IT"/>
        </w:rPr>
        <w:t xml:space="preserve"> profili</w:t>
      </w:r>
      <w:r w:rsidRPr="000742FE">
        <w:rPr>
          <w:rFonts w:ascii="Trebuchet MS" w:hAnsi="Trebuchet MS" w:cstheme="minorHAnsi"/>
          <w:color w:val="000000" w:themeColor="text1"/>
          <w:sz w:val="22"/>
          <w:szCs w:val="22"/>
          <w:lang w:val="it-IT"/>
        </w:rPr>
        <w:t xml:space="preserve"> di sicurezza </w:t>
      </w:r>
      <w:r w:rsidR="000712F0" w:rsidRPr="000742FE">
        <w:rPr>
          <w:rFonts w:ascii="Trebuchet MS" w:hAnsi="Trebuchet MS" w:cstheme="minorHAnsi"/>
          <w:color w:val="000000" w:themeColor="text1"/>
          <w:sz w:val="22"/>
          <w:szCs w:val="22"/>
          <w:lang w:val="it-IT"/>
        </w:rPr>
        <w:t xml:space="preserve">già </w:t>
      </w:r>
      <w:r w:rsidRPr="000742FE">
        <w:rPr>
          <w:rFonts w:ascii="Trebuchet MS" w:hAnsi="Trebuchet MS" w:cstheme="minorHAnsi"/>
          <w:color w:val="000000" w:themeColor="text1"/>
          <w:sz w:val="22"/>
          <w:szCs w:val="22"/>
          <w:lang w:val="it-IT"/>
        </w:rPr>
        <w:t>conosciuti dei compone</w:t>
      </w:r>
      <w:r w:rsidR="000712F0" w:rsidRPr="000742FE">
        <w:rPr>
          <w:rFonts w:ascii="Trebuchet MS" w:hAnsi="Trebuchet MS" w:cstheme="minorHAnsi"/>
          <w:color w:val="000000" w:themeColor="text1"/>
          <w:sz w:val="22"/>
          <w:szCs w:val="22"/>
          <w:lang w:val="it-IT"/>
        </w:rPr>
        <w:t>n</w:t>
      </w:r>
      <w:r w:rsidRPr="000742FE">
        <w:rPr>
          <w:rFonts w:ascii="Trebuchet MS" w:hAnsi="Trebuchet MS" w:cstheme="minorHAnsi"/>
          <w:color w:val="000000" w:themeColor="text1"/>
          <w:sz w:val="22"/>
          <w:szCs w:val="22"/>
          <w:lang w:val="it-IT"/>
        </w:rPr>
        <w:t>ti immunoterapici e chemioterapici</w:t>
      </w:r>
      <w:r w:rsidR="000712F0" w:rsidRPr="000742FE">
        <w:rPr>
          <w:rFonts w:ascii="Trebuchet MS" w:hAnsi="Trebuchet MS" w:cstheme="minorHAnsi"/>
          <w:color w:val="000000" w:themeColor="text1"/>
          <w:sz w:val="22"/>
          <w:szCs w:val="22"/>
          <w:lang w:val="it-IT"/>
        </w:rPr>
        <w:t>,</w:t>
      </w:r>
      <w:r w:rsidRPr="000742FE">
        <w:rPr>
          <w:rFonts w:ascii="Trebuchet MS" w:hAnsi="Trebuchet MS" w:cstheme="minorHAnsi"/>
          <w:color w:val="000000" w:themeColor="text1"/>
          <w:sz w:val="22"/>
          <w:szCs w:val="22"/>
          <w:lang w:val="it-IT"/>
        </w:rPr>
        <w:t xml:space="preserve"> nel trattamento di prima linea del tumore del polmone non a piccole cellule</w:t>
      </w:r>
      <w:r w:rsidR="007F3625" w:rsidRPr="000742FE">
        <w:rPr>
          <w:rFonts w:ascii="Trebuchet MS" w:hAnsi="Trebuchet MS" w:cstheme="minorHAnsi"/>
          <w:color w:val="000000" w:themeColor="text1"/>
          <w:sz w:val="22"/>
          <w:szCs w:val="22"/>
          <w:lang w:val="it-IT"/>
        </w:rPr>
        <w:t xml:space="preserve"> (NSCLC)</w:t>
      </w:r>
      <w:r w:rsidRPr="000742FE">
        <w:rPr>
          <w:rFonts w:ascii="Trebuchet MS" w:hAnsi="Trebuchet MS" w:cstheme="minorHAnsi"/>
          <w:color w:val="000000" w:themeColor="text1"/>
          <w:sz w:val="22"/>
          <w:szCs w:val="22"/>
          <w:lang w:val="it-IT"/>
        </w:rPr>
        <w:t xml:space="preserve">. </w:t>
      </w:r>
      <w:r w:rsidR="000712F0" w:rsidRPr="000742FE">
        <w:rPr>
          <w:rFonts w:ascii="Trebuchet MS" w:hAnsi="Trebuchet MS" w:cstheme="minorHAnsi"/>
          <w:color w:val="000000" w:themeColor="text1"/>
          <w:sz w:val="22"/>
          <w:szCs w:val="22"/>
          <w:lang w:val="it-IT"/>
        </w:rPr>
        <w:t xml:space="preserve">Questi risultati </w:t>
      </w:r>
      <w:r w:rsidR="00FD0E40" w:rsidRPr="000742FE">
        <w:rPr>
          <w:rFonts w:ascii="Trebuchet MS" w:hAnsi="Trebuchet MS" w:cstheme="minorHAnsi"/>
          <w:color w:val="000000" w:themeColor="text1"/>
          <w:sz w:val="22"/>
          <w:szCs w:val="22"/>
          <w:lang w:val="it-IT"/>
        </w:rPr>
        <w:t xml:space="preserve">(Abstract #9501) </w:t>
      </w:r>
      <w:r w:rsidR="000712F0" w:rsidRPr="000742FE">
        <w:rPr>
          <w:rFonts w:ascii="Trebuchet MS" w:hAnsi="Trebuchet MS" w:cstheme="minorHAnsi"/>
          <w:color w:val="000000" w:themeColor="text1"/>
          <w:sz w:val="22"/>
          <w:szCs w:val="22"/>
          <w:lang w:val="it-IT"/>
        </w:rPr>
        <w:t>saranno oggetto di una sessione orale al</w:t>
      </w:r>
      <w:r w:rsidR="00791828" w:rsidRPr="000742FE">
        <w:rPr>
          <w:rFonts w:ascii="Trebuchet MS" w:hAnsi="Trebuchet MS" w:cstheme="minorHAnsi"/>
          <w:color w:val="000000" w:themeColor="text1"/>
          <w:sz w:val="22"/>
          <w:szCs w:val="22"/>
          <w:lang w:val="it-IT"/>
        </w:rPr>
        <w:t xml:space="preserve"> congresso</w:t>
      </w:r>
      <w:r w:rsidR="000712F0" w:rsidRPr="000742FE">
        <w:rPr>
          <w:rFonts w:ascii="Trebuchet MS" w:hAnsi="Trebuchet MS" w:cstheme="minorHAnsi"/>
          <w:color w:val="000000" w:themeColor="text1"/>
          <w:sz w:val="22"/>
          <w:szCs w:val="22"/>
          <w:lang w:val="it-IT"/>
        </w:rPr>
        <w:t xml:space="preserve"> annuale 2020 dell</w:t>
      </w:r>
      <w:r w:rsidR="00791828" w:rsidRPr="000742FE">
        <w:rPr>
          <w:rFonts w:ascii="Trebuchet MS" w:hAnsi="Trebuchet MS" w:cstheme="minorHAnsi"/>
          <w:color w:val="000000" w:themeColor="text1"/>
          <w:sz w:val="22"/>
          <w:szCs w:val="22"/>
          <w:lang w:val="it-IT"/>
        </w:rPr>
        <w:t xml:space="preserve">a Società Americana di Oncologia Clinica </w:t>
      </w:r>
      <w:r w:rsidR="00FD0E40" w:rsidRPr="000742FE">
        <w:rPr>
          <w:rFonts w:ascii="Trebuchet MS" w:hAnsi="Trebuchet MS" w:cstheme="minorHAnsi"/>
          <w:color w:val="000000" w:themeColor="text1"/>
          <w:sz w:val="22"/>
          <w:szCs w:val="22"/>
          <w:lang w:val="it-IT"/>
        </w:rPr>
        <w:t>(ASCO)</w:t>
      </w:r>
      <w:r w:rsidR="00A92AE3" w:rsidRPr="000742FE">
        <w:rPr>
          <w:rFonts w:ascii="Trebuchet MS" w:hAnsi="Trebuchet MS" w:cstheme="minorHAnsi"/>
          <w:color w:val="000000" w:themeColor="text1"/>
          <w:sz w:val="22"/>
          <w:szCs w:val="22"/>
          <w:lang w:val="it-IT"/>
        </w:rPr>
        <w:t>,</w:t>
      </w:r>
      <w:r w:rsidR="00FD0E40" w:rsidRPr="000742FE">
        <w:rPr>
          <w:rFonts w:ascii="Trebuchet MS" w:hAnsi="Trebuchet MS" w:cstheme="minorHAnsi"/>
          <w:color w:val="000000" w:themeColor="text1"/>
          <w:sz w:val="22"/>
          <w:szCs w:val="22"/>
          <w:lang w:val="it-IT"/>
        </w:rPr>
        <w:t xml:space="preserve"> </w:t>
      </w:r>
      <w:r w:rsidR="000712F0" w:rsidRPr="000742FE">
        <w:rPr>
          <w:rFonts w:ascii="Trebuchet MS" w:hAnsi="Trebuchet MS" w:cstheme="minorHAnsi"/>
          <w:color w:val="000000" w:themeColor="text1"/>
          <w:sz w:val="22"/>
          <w:szCs w:val="22"/>
          <w:lang w:val="it-IT"/>
        </w:rPr>
        <w:t xml:space="preserve">che si terrà in forma virtuale dal 29 al 31 maggio. </w:t>
      </w:r>
    </w:p>
    <w:p w14:paraId="24F205D1" w14:textId="298B4B4D" w:rsidR="00792EEB" w:rsidRPr="000742FE" w:rsidRDefault="00792EEB" w:rsidP="00B85040">
      <w:pPr>
        <w:spacing w:line="360" w:lineRule="auto"/>
        <w:ind w:firstLine="720"/>
        <w:jc w:val="both"/>
        <w:rPr>
          <w:rFonts w:ascii="Trebuchet MS" w:hAnsi="Trebuchet MS" w:cstheme="minorHAnsi"/>
          <w:color w:val="000000" w:themeColor="text1"/>
          <w:sz w:val="22"/>
          <w:szCs w:val="22"/>
          <w:lang w:val="it-IT"/>
        </w:rPr>
      </w:pPr>
      <w:r w:rsidRPr="000742FE">
        <w:rPr>
          <w:rFonts w:ascii="Trebuchet MS" w:hAnsi="Trebuchet MS" w:cstheme="minorHAnsi"/>
          <w:color w:val="000000" w:themeColor="text1"/>
          <w:sz w:val="22"/>
          <w:szCs w:val="22"/>
          <w:lang w:val="it-IT"/>
        </w:rPr>
        <w:t>“</w:t>
      </w:r>
      <w:r w:rsidR="000712F0" w:rsidRPr="000742FE">
        <w:rPr>
          <w:rFonts w:ascii="Trebuchet MS" w:hAnsi="Trebuchet MS" w:cstheme="minorHAnsi"/>
          <w:color w:val="000000" w:themeColor="text1"/>
          <w:sz w:val="22"/>
          <w:szCs w:val="22"/>
          <w:lang w:val="it-IT"/>
        </w:rPr>
        <w:t xml:space="preserve">La </w:t>
      </w:r>
      <w:r w:rsidR="00D45C03" w:rsidRPr="000742FE">
        <w:rPr>
          <w:rFonts w:ascii="Trebuchet MS" w:hAnsi="Trebuchet MS" w:cstheme="minorHAnsi"/>
          <w:color w:val="000000" w:themeColor="text1"/>
          <w:sz w:val="22"/>
          <w:szCs w:val="22"/>
          <w:lang w:val="it-IT"/>
        </w:rPr>
        <w:t xml:space="preserve">associazione di </w:t>
      </w:r>
      <w:r w:rsidR="00654A9D" w:rsidRPr="000742FE">
        <w:rPr>
          <w:rFonts w:ascii="Trebuchet MS" w:hAnsi="Trebuchet MS" w:cstheme="minorHAnsi"/>
          <w:color w:val="000000" w:themeColor="text1"/>
          <w:sz w:val="22"/>
          <w:szCs w:val="22"/>
          <w:lang w:val="it-IT"/>
        </w:rPr>
        <w:t xml:space="preserve">nivolumab </w:t>
      </w:r>
      <w:r w:rsidR="000712F0" w:rsidRPr="000742FE">
        <w:rPr>
          <w:rFonts w:ascii="Trebuchet MS" w:hAnsi="Trebuchet MS" w:cstheme="minorHAnsi"/>
          <w:color w:val="000000" w:themeColor="text1"/>
          <w:sz w:val="22"/>
          <w:szCs w:val="22"/>
          <w:lang w:val="it-IT"/>
        </w:rPr>
        <w:t>e</w:t>
      </w:r>
      <w:r w:rsidRPr="000742FE">
        <w:rPr>
          <w:rFonts w:ascii="Trebuchet MS" w:hAnsi="Trebuchet MS" w:cstheme="minorHAnsi"/>
          <w:color w:val="000000" w:themeColor="text1"/>
          <w:sz w:val="22"/>
          <w:szCs w:val="22"/>
          <w:lang w:val="it-IT"/>
        </w:rPr>
        <w:t xml:space="preserve"> </w:t>
      </w:r>
      <w:r w:rsidR="00654A9D" w:rsidRPr="000742FE">
        <w:rPr>
          <w:rFonts w:ascii="Trebuchet MS" w:hAnsi="Trebuchet MS" w:cstheme="minorHAnsi"/>
          <w:color w:val="000000" w:themeColor="text1"/>
          <w:sz w:val="22"/>
          <w:szCs w:val="22"/>
          <w:lang w:val="it-IT"/>
        </w:rPr>
        <w:t xml:space="preserve">ipilimumab </w:t>
      </w:r>
      <w:r w:rsidR="000712F0" w:rsidRPr="000742FE">
        <w:rPr>
          <w:rFonts w:ascii="Trebuchet MS" w:hAnsi="Trebuchet MS" w:cstheme="minorHAnsi"/>
          <w:color w:val="000000" w:themeColor="text1"/>
          <w:sz w:val="22"/>
          <w:szCs w:val="22"/>
          <w:lang w:val="it-IT"/>
        </w:rPr>
        <w:t>ha mostrato di migliorare la sopravvivenza nei pazienti con tumore del polmone non a piccole cellule in prima linea</w:t>
      </w:r>
      <w:r w:rsidR="00F043B0" w:rsidRPr="000742FE">
        <w:rPr>
          <w:rFonts w:ascii="Trebuchet MS" w:hAnsi="Trebuchet MS" w:cstheme="minorHAnsi"/>
          <w:color w:val="000000" w:themeColor="text1"/>
          <w:sz w:val="22"/>
          <w:szCs w:val="22"/>
          <w:lang w:val="it-IT"/>
        </w:rPr>
        <w:t>,</w:t>
      </w:r>
      <w:r w:rsidRPr="000742FE">
        <w:rPr>
          <w:rFonts w:ascii="Trebuchet MS" w:hAnsi="Trebuchet MS" w:cstheme="minorHAnsi"/>
          <w:color w:val="000000" w:themeColor="text1"/>
          <w:sz w:val="22"/>
          <w:szCs w:val="22"/>
          <w:lang w:val="it-IT"/>
        </w:rPr>
        <w:t xml:space="preserve"> </w:t>
      </w:r>
      <w:r w:rsidR="007F3625" w:rsidRPr="000742FE">
        <w:rPr>
          <w:rFonts w:ascii="Trebuchet MS" w:hAnsi="Trebuchet MS" w:cstheme="minorHAnsi"/>
          <w:color w:val="000000" w:themeColor="text1"/>
          <w:sz w:val="22"/>
          <w:szCs w:val="22"/>
          <w:lang w:val="it-IT"/>
        </w:rPr>
        <w:t xml:space="preserve">e l’aggiunta di </w:t>
      </w:r>
      <w:r w:rsidR="00DD481B" w:rsidRPr="000742FE">
        <w:rPr>
          <w:rFonts w:ascii="Trebuchet MS" w:hAnsi="Trebuchet MS" w:cstheme="minorHAnsi"/>
          <w:color w:val="000000" w:themeColor="text1"/>
          <w:sz w:val="22"/>
          <w:szCs w:val="22"/>
          <w:lang w:val="it-IT"/>
        </w:rPr>
        <w:t>cicli limitati</w:t>
      </w:r>
      <w:r w:rsidR="000712F0" w:rsidRPr="000742FE">
        <w:rPr>
          <w:rFonts w:ascii="Trebuchet MS" w:hAnsi="Trebuchet MS" w:cstheme="minorHAnsi"/>
          <w:color w:val="000000" w:themeColor="text1"/>
          <w:sz w:val="22"/>
          <w:szCs w:val="22"/>
          <w:lang w:val="it-IT"/>
        </w:rPr>
        <w:t xml:space="preserve"> di chemioterapia può aiutare a </w:t>
      </w:r>
      <w:r w:rsidR="007B5072" w:rsidRPr="000742FE">
        <w:rPr>
          <w:rFonts w:ascii="Trebuchet MS" w:hAnsi="Trebuchet MS" w:cstheme="minorHAnsi"/>
          <w:color w:val="000000" w:themeColor="text1"/>
          <w:sz w:val="22"/>
          <w:szCs w:val="22"/>
          <w:lang w:val="it-IT"/>
        </w:rPr>
        <w:t>contene</w:t>
      </w:r>
      <w:r w:rsidR="000712F0" w:rsidRPr="000742FE">
        <w:rPr>
          <w:rFonts w:ascii="Trebuchet MS" w:hAnsi="Trebuchet MS" w:cstheme="minorHAnsi"/>
          <w:color w:val="000000" w:themeColor="text1"/>
          <w:sz w:val="22"/>
          <w:szCs w:val="22"/>
          <w:lang w:val="it-IT"/>
        </w:rPr>
        <w:t>re il rischio di progressione precoce di malattia</w:t>
      </w:r>
      <w:r w:rsidRPr="000742FE">
        <w:rPr>
          <w:rFonts w:ascii="Trebuchet MS" w:hAnsi="Trebuchet MS" w:cstheme="minorHAnsi"/>
          <w:color w:val="000000" w:themeColor="text1"/>
          <w:sz w:val="22"/>
          <w:szCs w:val="22"/>
          <w:lang w:val="it-IT"/>
        </w:rPr>
        <w:t xml:space="preserve">,” </w:t>
      </w:r>
      <w:r w:rsidR="003661D0" w:rsidRPr="000742FE">
        <w:rPr>
          <w:rFonts w:ascii="Trebuchet MS" w:hAnsi="Trebuchet MS" w:cstheme="minorHAnsi"/>
          <w:color w:val="000000" w:themeColor="text1"/>
          <w:sz w:val="22"/>
          <w:szCs w:val="22"/>
          <w:lang w:val="it-IT"/>
        </w:rPr>
        <w:t>ha affermato</w:t>
      </w:r>
      <w:r w:rsidRPr="000742FE">
        <w:rPr>
          <w:rFonts w:ascii="Trebuchet MS" w:hAnsi="Trebuchet MS" w:cstheme="minorHAnsi"/>
          <w:color w:val="000000" w:themeColor="text1"/>
          <w:sz w:val="22"/>
          <w:szCs w:val="22"/>
          <w:lang w:val="it-IT"/>
        </w:rPr>
        <w:t xml:space="preserve"> Martin Reck, M.D., Ph.D., </w:t>
      </w:r>
      <w:r w:rsidR="00E57988" w:rsidRPr="000742FE">
        <w:rPr>
          <w:rFonts w:ascii="Trebuchet MS" w:hAnsi="Trebuchet MS" w:cstheme="minorHAnsi"/>
          <w:color w:val="000000" w:themeColor="text1"/>
          <w:sz w:val="22"/>
          <w:szCs w:val="22"/>
          <w:lang w:val="it-IT"/>
        </w:rPr>
        <w:t xml:space="preserve">sperimentatore </w:t>
      </w:r>
      <w:r w:rsidR="000712F0" w:rsidRPr="000742FE">
        <w:rPr>
          <w:rFonts w:ascii="Trebuchet MS" w:hAnsi="Trebuchet MS" w:cstheme="minorHAnsi"/>
          <w:color w:val="000000" w:themeColor="text1"/>
          <w:sz w:val="22"/>
          <w:szCs w:val="22"/>
          <w:lang w:val="it-IT"/>
        </w:rPr>
        <w:t xml:space="preserve">dello studio </w:t>
      </w:r>
      <w:r w:rsidR="00A44D9F" w:rsidRPr="000742FE">
        <w:rPr>
          <w:rFonts w:ascii="Trebuchet MS" w:hAnsi="Trebuchet MS" w:cstheme="minorHAnsi"/>
          <w:color w:val="000000" w:themeColor="text1"/>
          <w:sz w:val="22"/>
          <w:szCs w:val="22"/>
          <w:lang w:val="it-IT"/>
        </w:rPr>
        <w:t>Ch</w:t>
      </w:r>
      <w:r w:rsidR="000712F0" w:rsidRPr="000742FE">
        <w:rPr>
          <w:rFonts w:ascii="Trebuchet MS" w:hAnsi="Trebuchet MS" w:cstheme="minorHAnsi"/>
          <w:color w:val="000000" w:themeColor="text1"/>
          <w:sz w:val="22"/>
          <w:szCs w:val="22"/>
          <w:lang w:val="it-IT"/>
        </w:rPr>
        <w:t>eckMate -9LA</w:t>
      </w:r>
      <w:r w:rsidRPr="000742FE">
        <w:rPr>
          <w:rFonts w:ascii="Trebuchet MS" w:hAnsi="Trebuchet MS" w:cstheme="minorHAnsi"/>
          <w:color w:val="000000" w:themeColor="text1"/>
          <w:sz w:val="22"/>
          <w:szCs w:val="22"/>
          <w:lang w:val="it-IT"/>
        </w:rPr>
        <w:t>, Lung Clinic Grosshansdorf, German Center of Lung Research. “</w:t>
      </w:r>
      <w:r w:rsidR="00DD481B" w:rsidRPr="000742FE">
        <w:rPr>
          <w:rFonts w:ascii="Trebuchet MS" w:hAnsi="Trebuchet MS" w:cstheme="minorHAnsi"/>
          <w:color w:val="000000" w:themeColor="text1"/>
          <w:sz w:val="22"/>
          <w:szCs w:val="22"/>
          <w:lang w:val="it-IT"/>
        </w:rPr>
        <w:t>Con i</w:t>
      </w:r>
      <w:r w:rsidR="00ED57B0" w:rsidRPr="000742FE">
        <w:rPr>
          <w:rFonts w:ascii="Trebuchet MS" w:hAnsi="Trebuchet MS" w:cstheme="minorHAnsi"/>
          <w:color w:val="000000" w:themeColor="text1"/>
          <w:sz w:val="22"/>
          <w:szCs w:val="22"/>
          <w:lang w:val="it-IT"/>
        </w:rPr>
        <w:t xml:space="preserve"> risultati dello studio </w:t>
      </w:r>
      <w:r w:rsidR="007F3625" w:rsidRPr="000742FE">
        <w:rPr>
          <w:rFonts w:ascii="Trebuchet MS" w:hAnsi="Trebuchet MS" w:cstheme="minorHAnsi"/>
          <w:color w:val="000000" w:themeColor="text1"/>
          <w:sz w:val="22"/>
          <w:szCs w:val="22"/>
          <w:lang w:val="it-IT"/>
        </w:rPr>
        <w:t>CheckMate -9LA</w:t>
      </w:r>
      <w:r w:rsidR="00DD481B" w:rsidRPr="000742FE">
        <w:rPr>
          <w:rFonts w:ascii="Trebuchet MS" w:hAnsi="Trebuchet MS" w:cstheme="minorHAnsi"/>
          <w:color w:val="000000" w:themeColor="text1"/>
          <w:sz w:val="22"/>
          <w:szCs w:val="22"/>
          <w:lang w:val="it-IT"/>
        </w:rPr>
        <w:t>,</w:t>
      </w:r>
      <w:r w:rsidRPr="000742FE">
        <w:rPr>
          <w:rFonts w:ascii="Trebuchet MS" w:hAnsi="Trebuchet MS" w:cstheme="minorHAnsi"/>
          <w:color w:val="000000" w:themeColor="text1"/>
          <w:sz w:val="22"/>
          <w:szCs w:val="22"/>
          <w:lang w:val="it-IT"/>
        </w:rPr>
        <w:t xml:space="preserve"> </w:t>
      </w:r>
      <w:r w:rsidR="00DD481B" w:rsidRPr="000742FE">
        <w:rPr>
          <w:rFonts w:ascii="Trebuchet MS" w:hAnsi="Trebuchet MS" w:cstheme="minorHAnsi"/>
          <w:color w:val="000000" w:themeColor="text1"/>
          <w:sz w:val="22"/>
          <w:szCs w:val="22"/>
          <w:lang w:val="it-IT"/>
        </w:rPr>
        <w:t xml:space="preserve">abbiamo ora </w:t>
      </w:r>
      <w:r w:rsidR="00ED57B0" w:rsidRPr="000742FE">
        <w:rPr>
          <w:rFonts w:ascii="Trebuchet MS" w:hAnsi="Trebuchet MS" w:cstheme="minorHAnsi"/>
          <w:color w:val="000000" w:themeColor="text1"/>
          <w:sz w:val="22"/>
          <w:szCs w:val="22"/>
          <w:lang w:val="it-IT"/>
        </w:rPr>
        <w:t>l’evidenza che l</w:t>
      </w:r>
      <w:r w:rsidR="000742FE">
        <w:rPr>
          <w:rFonts w:ascii="Trebuchet MS" w:hAnsi="Trebuchet MS" w:cstheme="minorHAnsi"/>
          <w:color w:val="000000" w:themeColor="text1"/>
          <w:sz w:val="22"/>
          <w:szCs w:val="22"/>
          <w:lang w:val="it-IT"/>
        </w:rPr>
        <w:t>’</w:t>
      </w:r>
      <w:r w:rsidR="00DD481B" w:rsidRPr="000742FE">
        <w:rPr>
          <w:rFonts w:ascii="Trebuchet MS" w:hAnsi="Trebuchet MS" w:cstheme="minorHAnsi"/>
          <w:color w:val="000000" w:themeColor="text1"/>
          <w:sz w:val="22"/>
          <w:szCs w:val="22"/>
          <w:lang w:val="it-IT"/>
        </w:rPr>
        <w:t xml:space="preserve">associazione </w:t>
      </w:r>
      <w:r w:rsidR="00ED57B0" w:rsidRPr="000742FE">
        <w:rPr>
          <w:rFonts w:ascii="Trebuchet MS" w:hAnsi="Trebuchet MS" w:cstheme="minorHAnsi"/>
          <w:color w:val="000000" w:themeColor="text1"/>
          <w:sz w:val="22"/>
          <w:szCs w:val="22"/>
          <w:lang w:val="it-IT"/>
        </w:rPr>
        <w:t xml:space="preserve">di </w:t>
      </w:r>
      <w:r w:rsidR="00DD481B" w:rsidRPr="000742FE">
        <w:rPr>
          <w:rFonts w:ascii="Trebuchet MS" w:hAnsi="Trebuchet MS" w:cstheme="minorHAnsi"/>
          <w:color w:val="000000" w:themeColor="text1"/>
          <w:sz w:val="22"/>
          <w:szCs w:val="22"/>
          <w:lang w:val="it-IT"/>
        </w:rPr>
        <w:t xml:space="preserve">questi </w:t>
      </w:r>
      <w:r w:rsidR="00ED57B0" w:rsidRPr="000742FE">
        <w:rPr>
          <w:rFonts w:ascii="Trebuchet MS" w:hAnsi="Trebuchet MS" w:cstheme="minorHAnsi"/>
          <w:color w:val="000000" w:themeColor="text1"/>
          <w:sz w:val="22"/>
          <w:szCs w:val="22"/>
          <w:lang w:val="it-IT"/>
        </w:rPr>
        <w:t>due immunoterapici</w:t>
      </w:r>
      <w:r w:rsidR="000742FE">
        <w:rPr>
          <w:rFonts w:ascii="Trebuchet MS" w:hAnsi="Trebuchet MS" w:cstheme="minorHAnsi"/>
          <w:color w:val="000000" w:themeColor="text1"/>
          <w:sz w:val="22"/>
          <w:szCs w:val="22"/>
          <w:lang w:val="it-IT"/>
        </w:rPr>
        <w:t xml:space="preserve"> </w:t>
      </w:r>
      <w:r w:rsidR="00ED57B0" w:rsidRPr="000742FE">
        <w:rPr>
          <w:rFonts w:ascii="Trebuchet MS" w:hAnsi="Trebuchet MS" w:cstheme="minorHAnsi"/>
          <w:color w:val="000000" w:themeColor="text1"/>
          <w:sz w:val="22"/>
          <w:szCs w:val="22"/>
          <w:lang w:val="it-IT"/>
        </w:rPr>
        <w:t>con due cicli di chemioterapia</w:t>
      </w:r>
      <w:r w:rsidRPr="000742FE">
        <w:rPr>
          <w:rFonts w:ascii="Trebuchet MS" w:hAnsi="Trebuchet MS" w:cstheme="minorHAnsi"/>
          <w:color w:val="000000" w:themeColor="text1"/>
          <w:sz w:val="22"/>
          <w:szCs w:val="22"/>
          <w:lang w:val="it-IT"/>
        </w:rPr>
        <w:t xml:space="preserve"> </w:t>
      </w:r>
      <w:r w:rsidR="00ED57B0" w:rsidRPr="000742FE">
        <w:rPr>
          <w:rFonts w:ascii="Trebuchet MS" w:hAnsi="Trebuchet MS" w:cstheme="minorHAnsi"/>
          <w:color w:val="000000" w:themeColor="text1"/>
          <w:sz w:val="22"/>
          <w:szCs w:val="22"/>
          <w:lang w:val="it-IT"/>
        </w:rPr>
        <w:t>offre un beneficio di sopravvivenza in questo setting</w:t>
      </w:r>
      <w:r w:rsidRPr="000742FE">
        <w:rPr>
          <w:rFonts w:ascii="Trebuchet MS" w:hAnsi="Trebuchet MS" w:cstheme="minorHAnsi"/>
          <w:color w:val="000000" w:themeColor="text1"/>
          <w:sz w:val="22"/>
          <w:szCs w:val="22"/>
          <w:lang w:val="it-IT"/>
        </w:rPr>
        <w:t xml:space="preserve"> – </w:t>
      </w:r>
      <w:r w:rsidR="00ED57B0" w:rsidRPr="000742FE">
        <w:rPr>
          <w:rFonts w:ascii="Trebuchet MS" w:hAnsi="Trebuchet MS" w:cstheme="minorHAnsi"/>
          <w:color w:val="000000" w:themeColor="text1"/>
          <w:sz w:val="22"/>
          <w:szCs w:val="22"/>
          <w:lang w:val="it-IT"/>
        </w:rPr>
        <w:t xml:space="preserve">un beneficio che è stato osservato in fase iniziale e mantenuto </w:t>
      </w:r>
      <w:r w:rsidR="00887845" w:rsidRPr="000742FE">
        <w:rPr>
          <w:rFonts w:ascii="Trebuchet MS" w:hAnsi="Trebuchet MS" w:cstheme="minorHAnsi"/>
          <w:color w:val="000000" w:themeColor="text1"/>
          <w:sz w:val="22"/>
          <w:szCs w:val="22"/>
          <w:lang w:val="it-IT"/>
        </w:rPr>
        <w:t>al</w:t>
      </w:r>
      <w:r w:rsidR="00ED57B0" w:rsidRPr="000742FE">
        <w:rPr>
          <w:rFonts w:ascii="Trebuchet MS" w:hAnsi="Trebuchet MS" w:cstheme="minorHAnsi"/>
          <w:color w:val="000000" w:themeColor="text1"/>
          <w:sz w:val="22"/>
          <w:szCs w:val="22"/>
          <w:lang w:val="it-IT"/>
        </w:rPr>
        <w:t xml:space="preserve"> </w:t>
      </w:r>
      <w:r w:rsidRPr="000742FE">
        <w:rPr>
          <w:rFonts w:ascii="Trebuchet MS" w:hAnsi="Trebuchet MS" w:cstheme="minorHAnsi"/>
          <w:color w:val="000000" w:themeColor="text1"/>
          <w:sz w:val="22"/>
          <w:szCs w:val="22"/>
          <w:lang w:val="it-IT"/>
        </w:rPr>
        <w:t xml:space="preserve">follow-up </w:t>
      </w:r>
      <w:r w:rsidR="007F3625" w:rsidRPr="000742FE">
        <w:rPr>
          <w:rFonts w:ascii="Trebuchet MS" w:hAnsi="Trebuchet MS" w:cstheme="minorHAnsi"/>
          <w:color w:val="000000" w:themeColor="text1"/>
          <w:sz w:val="22"/>
          <w:szCs w:val="22"/>
          <w:lang w:val="it-IT"/>
        </w:rPr>
        <w:t xml:space="preserve">di un anno </w:t>
      </w:r>
      <w:r w:rsidR="00ED57B0" w:rsidRPr="000742FE">
        <w:rPr>
          <w:rFonts w:ascii="Trebuchet MS" w:hAnsi="Trebuchet MS" w:cstheme="minorHAnsi"/>
          <w:color w:val="000000" w:themeColor="text1"/>
          <w:sz w:val="22"/>
          <w:szCs w:val="22"/>
          <w:lang w:val="it-IT"/>
        </w:rPr>
        <w:t>nei sottogruppi chiave di pazienti</w:t>
      </w:r>
      <w:r w:rsidRPr="000742FE">
        <w:rPr>
          <w:rFonts w:ascii="Trebuchet MS" w:hAnsi="Trebuchet MS" w:cstheme="minorHAnsi"/>
          <w:color w:val="000000" w:themeColor="text1"/>
          <w:sz w:val="22"/>
          <w:szCs w:val="22"/>
          <w:lang w:val="it-IT"/>
        </w:rPr>
        <w:t>.</w:t>
      </w:r>
      <w:r w:rsidR="00ED57B0" w:rsidRPr="000742FE">
        <w:rPr>
          <w:rFonts w:ascii="Trebuchet MS" w:hAnsi="Trebuchet MS" w:cstheme="minorHAnsi"/>
          <w:color w:val="000000" w:themeColor="text1"/>
          <w:sz w:val="22"/>
          <w:szCs w:val="22"/>
          <w:lang w:val="it-IT"/>
        </w:rPr>
        <w:t xml:space="preserve"> </w:t>
      </w:r>
      <w:r w:rsidR="000742FE">
        <w:rPr>
          <w:rFonts w:ascii="Trebuchet MS" w:hAnsi="Trebuchet MS" w:cstheme="minorHAnsi"/>
          <w:color w:val="000000" w:themeColor="text1"/>
          <w:sz w:val="22"/>
          <w:szCs w:val="22"/>
          <w:lang w:val="it-IT"/>
        </w:rPr>
        <w:t>Al progressivo consolidamento dei dati,</w:t>
      </w:r>
      <w:r w:rsidR="007F3625" w:rsidRPr="000742FE">
        <w:rPr>
          <w:rFonts w:ascii="Trebuchet MS" w:hAnsi="Trebuchet MS" w:cstheme="minorHAnsi"/>
          <w:color w:val="000000" w:themeColor="text1"/>
          <w:sz w:val="22"/>
          <w:szCs w:val="22"/>
          <w:lang w:val="it-IT"/>
        </w:rPr>
        <w:t xml:space="preserve"> vediamo la possibilità di un miglioramento della sopravvivenza nel tempo</w:t>
      </w:r>
      <w:r w:rsidRPr="000742FE">
        <w:rPr>
          <w:rFonts w:ascii="Trebuchet MS" w:hAnsi="Trebuchet MS" w:cstheme="minorHAnsi"/>
          <w:color w:val="000000" w:themeColor="text1"/>
          <w:sz w:val="22"/>
          <w:szCs w:val="22"/>
          <w:lang w:val="it-IT"/>
        </w:rPr>
        <w:t>”</w:t>
      </w:r>
      <w:r w:rsidR="00887845" w:rsidRPr="000742FE">
        <w:rPr>
          <w:rFonts w:ascii="Trebuchet MS" w:hAnsi="Trebuchet MS" w:cstheme="minorHAnsi"/>
          <w:color w:val="000000" w:themeColor="text1"/>
          <w:sz w:val="22"/>
          <w:szCs w:val="22"/>
          <w:lang w:val="it-IT"/>
        </w:rPr>
        <w:t>.</w:t>
      </w:r>
    </w:p>
    <w:p w14:paraId="73D5F904" w14:textId="1D410A5B" w:rsidR="00792EEB" w:rsidRPr="000742FE" w:rsidRDefault="00625109" w:rsidP="00B85040">
      <w:pPr>
        <w:spacing w:line="360" w:lineRule="auto"/>
        <w:ind w:firstLine="720"/>
        <w:contextualSpacing/>
        <w:jc w:val="both"/>
        <w:rPr>
          <w:rFonts w:ascii="Trebuchet MS" w:hAnsi="Trebuchet MS" w:cstheme="minorHAnsi"/>
          <w:color w:val="000000" w:themeColor="text1"/>
          <w:sz w:val="22"/>
          <w:szCs w:val="22"/>
          <w:lang w:val="it-IT"/>
        </w:rPr>
      </w:pPr>
      <w:r w:rsidRPr="000742FE">
        <w:rPr>
          <w:rFonts w:ascii="Trebuchet MS" w:hAnsi="Trebuchet MS" w:cstheme="minorHAnsi"/>
          <w:color w:val="000000" w:themeColor="text1"/>
          <w:sz w:val="22"/>
          <w:szCs w:val="22"/>
          <w:lang w:val="it-IT"/>
        </w:rPr>
        <w:t xml:space="preserve">Con un </w:t>
      </w:r>
      <w:r w:rsidR="00175DF2" w:rsidRPr="000742FE">
        <w:rPr>
          <w:rFonts w:ascii="Trebuchet MS" w:hAnsi="Trebuchet MS" w:cstheme="minorHAnsi"/>
          <w:color w:val="000000" w:themeColor="text1"/>
          <w:sz w:val="22"/>
          <w:szCs w:val="22"/>
          <w:lang w:val="it-IT"/>
        </w:rPr>
        <w:t xml:space="preserve">follow-up </w:t>
      </w:r>
      <w:r w:rsidRPr="000742FE">
        <w:rPr>
          <w:rFonts w:ascii="Trebuchet MS" w:hAnsi="Trebuchet MS" w:cstheme="minorHAnsi"/>
          <w:color w:val="000000" w:themeColor="text1"/>
          <w:sz w:val="22"/>
          <w:szCs w:val="22"/>
          <w:lang w:val="it-IT"/>
        </w:rPr>
        <w:t xml:space="preserve">minimo di </w:t>
      </w:r>
      <w:r w:rsidR="00175DF2" w:rsidRPr="000742FE">
        <w:rPr>
          <w:rFonts w:ascii="Trebuchet MS" w:hAnsi="Trebuchet MS" w:cstheme="minorHAnsi"/>
          <w:color w:val="000000" w:themeColor="text1"/>
          <w:sz w:val="22"/>
          <w:szCs w:val="22"/>
          <w:lang w:val="it-IT"/>
        </w:rPr>
        <w:t>12</w:t>
      </w:r>
      <w:r w:rsidR="003661D0" w:rsidRPr="000742FE">
        <w:rPr>
          <w:rFonts w:ascii="Trebuchet MS" w:hAnsi="Trebuchet MS" w:cstheme="minorHAnsi"/>
          <w:color w:val="000000" w:themeColor="text1"/>
          <w:sz w:val="22"/>
          <w:szCs w:val="22"/>
          <w:lang w:val="it-IT"/>
        </w:rPr>
        <w:t>,</w:t>
      </w:r>
      <w:r w:rsidR="00175DF2" w:rsidRPr="000742FE">
        <w:rPr>
          <w:rFonts w:ascii="Trebuchet MS" w:hAnsi="Trebuchet MS" w:cstheme="minorHAnsi"/>
          <w:color w:val="000000" w:themeColor="text1"/>
          <w:sz w:val="22"/>
          <w:szCs w:val="22"/>
          <w:lang w:val="it-IT"/>
        </w:rPr>
        <w:t>7 m</w:t>
      </w:r>
      <w:r w:rsidRPr="000742FE">
        <w:rPr>
          <w:rFonts w:ascii="Trebuchet MS" w:hAnsi="Trebuchet MS" w:cstheme="minorHAnsi"/>
          <w:color w:val="000000" w:themeColor="text1"/>
          <w:sz w:val="22"/>
          <w:szCs w:val="22"/>
          <w:lang w:val="it-IT"/>
        </w:rPr>
        <w:t>esi</w:t>
      </w:r>
      <w:r w:rsidR="003661D0" w:rsidRPr="000742FE">
        <w:rPr>
          <w:rFonts w:ascii="Trebuchet MS" w:hAnsi="Trebuchet MS" w:cstheme="minorHAnsi"/>
          <w:color w:val="000000" w:themeColor="text1"/>
          <w:sz w:val="22"/>
          <w:szCs w:val="22"/>
          <w:lang w:val="it-IT"/>
        </w:rPr>
        <w:t>,</w:t>
      </w:r>
      <w:r w:rsidRPr="000742FE">
        <w:rPr>
          <w:rFonts w:ascii="Trebuchet MS" w:hAnsi="Trebuchet MS" w:cstheme="minorHAnsi"/>
          <w:color w:val="000000" w:themeColor="text1"/>
          <w:sz w:val="22"/>
          <w:szCs w:val="22"/>
          <w:lang w:val="it-IT"/>
        </w:rPr>
        <w:t xml:space="preserve"> nivolumab </w:t>
      </w:r>
      <w:r w:rsidR="00DD481B" w:rsidRPr="000742FE">
        <w:rPr>
          <w:rFonts w:ascii="Trebuchet MS" w:hAnsi="Trebuchet MS" w:cstheme="minorHAnsi"/>
          <w:color w:val="000000" w:themeColor="text1"/>
          <w:sz w:val="22"/>
          <w:szCs w:val="22"/>
          <w:lang w:val="it-IT"/>
        </w:rPr>
        <w:t xml:space="preserve">più </w:t>
      </w:r>
      <w:r w:rsidRPr="000742FE">
        <w:rPr>
          <w:rFonts w:ascii="Trebuchet MS" w:hAnsi="Trebuchet MS" w:cstheme="minorHAnsi"/>
          <w:color w:val="000000" w:themeColor="text1"/>
          <w:sz w:val="22"/>
          <w:szCs w:val="22"/>
          <w:lang w:val="it-IT"/>
        </w:rPr>
        <w:t>ipilimumab associat</w:t>
      </w:r>
      <w:r w:rsidR="007F3625" w:rsidRPr="000742FE">
        <w:rPr>
          <w:rFonts w:ascii="Trebuchet MS" w:hAnsi="Trebuchet MS" w:cstheme="minorHAnsi"/>
          <w:color w:val="000000" w:themeColor="text1"/>
          <w:sz w:val="22"/>
          <w:szCs w:val="22"/>
          <w:lang w:val="it-IT"/>
        </w:rPr>
        <w:t>i</w:t>
      </w:r>
      <w:r w:rsidRPr="000742FE">
        <w:rPr>
          <w:rFonts w:ascii="Trebuchet MS" w:hAnsi="Trebuchet MS" w:cstheme="minorHAnsi"/>
          <w:color w:val="000000" w:themeColor="text1"/>
          <w:sz w:val="22"/>
          <w:szCs w:val="22"/>
          <w:lang w:val="it-IT"/>
        </w:rPr>
        <w:t xml:space="preserve"> a </w:t>
      </w:r>
      <w:r w:rsidR="00DD481B" w:rsidRPr="000742FE">
        <w:rPr>
          <w:rFonts w:ascii="Trebuchet MS" w:hAnsi="Trebuchet MS" w:cstheme="minorHAnsi"/>
          <w:color w:val="000000" w:themeColor="text1"/>
          <w:sz w:val="22"/>
          <w:szCs w:val="22"/>
          <w:lang w:val="it-IT"/>
        </w:rPr>
        <w:t>cicli limitati</w:t>
      </w:r>
      <w:r w:rsidR="00A1241A" w:rsidRPr="000742FE">
        <w:rPr>
          <w:rFonts w:ascii="Trebuchet MS" w:hAnsi="Trebuchet MS" w:cstheme="minorHAnsi"/>
          <w:color w:val="000000" w:themeColor="text1"/>
          <w:sz w:val="22"/>
          <w:szCs w:val="22"/>
          <w:lang w:val="it-IT"/>
        </w:rPr>
        <w:t xml:space="preserve"> di </w:t>
      </w:r>
      <w:r w:rsidRPr="000742FE">
        <w:rPr>
          <w:rFonts w:ascii="Trebuchet MS" w:hAnsi="Trebuchet MS" w:cstheme="minorHAnsi"/>
          <w:color w:val="000000" w:themeColor="text1"/>
          <w:sz w:val="22"/>
          <w:szCs w:val="22"/>
          <w:lang w:val="it-IT"/>
        </w:rPr>
        <w:t xml:space="preserve">chemioterapia hanno migliorato </w:t>
      </w:r>
      <w:r w:rsidR="00A1241A" w:rsidRPr="000742FE">
        <w:rPr>
          <w:rFonts w:ascii="Trebuchet MS" w:hAnsi="Trebuchet MS" w:cstheme="minorHAnsi"/>
          <w:color w:val="000000" w:themeColor="text1"/>
          <w:sz w:val="22"/>
          <w:szCs w:val="22"/>
          <w:lang w:val="it-IT"/>
        </w:rPr>
        <w:t>la sopravvivenza globale (</w:t>
      </w:r>
      <w:r w:rsidR="00175DF2" w:rsidRPr="000742FE">
        <w:rPr>
          <w:rFonts w:ascii="Trebuchet MS" w:hAnsi="Trebuchet MS" w:cstheme="minorHAnsi"/>
          <w:color w:val="000000" w:themeColor="text1"/>
          <w:sz w:val="22"/>
          <w:szCs w:val="22"/>
          <w:lang w:val="it-IT"/>
        </w:rPr>
        <w:t>OS</w:t>
      </w:r>
      <w:r w:rsidR="00A1241A" w:rsidRPr="000742FE">
        <w:rPr>
          <w:rFonts w:ascii="Trebuchet MS" w:hAnsi="Trebuchet MS" w:cstheme="minorHAnsi"/>
          <w:color w:val="000000" w:themeColor="text1"/>
          <w:sz w:val="22"/>
          <w:szCs w:val="22"/>
          <w:lang w:val="it-IT"/>
        </w:rPr>
        <w:t>)</w:t>
      </w:r>
      <w:r w:rsidRPr="000742FE">
        <w:rPr>
          <w:rFonts w:ascii="Trebuchet MS" w:hAnsi="Trebuchet MS" w:cstheme="minorHAnsi"/>
          <w:color w:val="000000" w:themeColor="text1"/>
          <w:sz w:val="22"/>
          <w:szCs w:val="22"/>
          <w:lang w:val="it-IT"/>
        </w:rPr>
        <w:t xml:space="preserve"> indipendentemente dai livelli di espressione di PD-L1</w:t>
      </w:r>
      <w:r w:rsidR="00175DF2" w:rsidRPr="000742FE">
        <w:rPr>
          <w:rFonts w:ascii="Trebuchet MS" w:hAnsi="Trebuchet MS" w:cstheme="minorHAnsi"/>
          <w:color w:val="000000" w:themeColor="text1"/>
          <w:sz w:val="22"/>
          <w:szCs w:val="22"/>
          <w:lang w:val="it-IT"/>
        </w:rPr>
        <w:t xml:space="preserve">, </w:t>
      </w:r>
      <w:r w:rsidRPr="000742FE">
        <w:rPr>
          <w:rFonts w:ascii="Trebuchet MS" w:hAnsi="Trebuchet MS" w:cstheme="minorHAnsi"/>
          <w:color w:val="000000" w:themeColor="text1"/>
          <w:sz w:val="22"/>
          <w:szCs w:val="22"/>
          <w:lang w:val="it-IT"/>
        </w:rPr>
        <w:t xml:space="preserve">riducendo il rischio di morte del </w:t>
      </w:r>
      <w:r w:rsidR="00175DF2" w:rsidRPr="000742FE">
        <w:rPr>
          <w:rFonts w:ascii="Trebuchet MS" w:hAnsi="Trebuchet MS" w:cstheme="minorHAnsi"/>
          <w:color w:val="000000" w:themeColor="text1"/>
          <w:sz w:val="22"/>
          <w:szCs w:val="22"/>
          <w:lang w:val="it-IT"/>
        </w:rPr>
        <w:t>38</w:t>
      </w:r>
      <w:r w:rsidR="00CE590A" w:rsidRPr="000742FE">
        <w:rPr>
          <w:rFonts w:ascii="Trebuchet MS" w:hAnsi="Trebuchet MS" w:cstheme="minorHAnsi"/>
          <w:color w:val="000000" w:themeColor="text1"/>
          <w:sz w:val="22"/>
          <w:szCs w:val="22"/>
          <w:lang w:val="it-IT"/>
        </w:rPr>
        <w:t>%</w:t>
      </w:r>
      <w:r w:rsidR="00175DF2" w:rsidRPr="000742FE">
        <w:rPr>
          <w:rFonts w:ascii="Trebuchet MS" w:hAnsi="Trebuchet MS" w:cstheme="minorHAnsi"/>
          <w:color w:val="000000" w:themeColor="text1"/>
          <w:sz w:val="22"/>
          <w:szCs w:val="22"/>
          <w:lang w:val="it-IT"/>
        </w:rPr>
        <w:t xml:space="preserve"> </w:t>
      </w:r>
      <w:r w:rsidRPr="000742FE">
        <w:rPr>
          <w:rFonts w:ascii="Trebuchet MS" w:hAnsi="Trebuchet MS" w:cstheme="minorHAnsi"/>
          <w:color w:val="000000" w:themeColor="text1"/>
          <w:sz w:val="22"/>
          <w:szCs w:val="22"/>
          <w:lang w:val="it-IT"/>
        </w:rPr>
        <w:t xml:space="preserve">nei pazienti con </w:t>
      </w:r>
      <w:r w:rsidR="0001390E" w:rsidRPr="000742FE">
        <w:rPr>
          <w:rFonts w:ascii="Trebuchet MS" w:hAnsi="Trebuchet MS" w:cstheme="minorHAnsi"/>
          <w:color w:val="000000" w:themeColor="text1"/>
          <w:sz w:val="22"/>
          <w:szCs w:val="22"/>
          <w:lang w:val="it-IT"/>
        </w:rPr>
        <w:t xml:space="preserve">PD-L1 &lt;1% </w:t>
      </w:r>
      <w:r w:rsidR="00175DF2" w:rsidRPr="000742FE">
        <w:rPr>
          <w:rFonts w:ascii="Trebuchet MS" w:hAnsi="Trebuchet MS" w:cstheme="minorHAnsi"/>
          <w:color w:val="000000" w:themeColor="text1"/>
          <w:sz w:val="22"/>
          <w:szCs w:val="22"/>
          <w:lang w:val="it-IT"/>
        </w:rPr>
        <w:t>(HR 0</w:t>
      </w:r>
      <w:r w:rsidR="003661D0" w:rsidRPr="000742FE">
        <w:rPr>
          <w:rFonts w:ascii="Trebuchet MS" w:hAnsi="Trebuchet MS" w:cstheme="minorHAnsi"/>
          <w:color w:val="000000" w:themeColor="text1"/>
          <w:sz w:val="22"/>
          <w:szCs w:val="22"/>
          <w:lang w:val="it-IT"/>
        </w:rPr>
        <w:t>,</w:t>
      </w:r>
      <w:r w:rsidR="00175DF2" w:rsidRPr="000742FE">
        <w:rPr>
          <w:rFonts w:ascii="Trebuchet MS" w:hAnsi="Trebuchet MS" w:cstheme="minorHAnsi"/>
          <w:color w:val="000000" w:themeColor="text1"/>
          <w:sz w:val="22"/>
          <w:szCs w:val="22"/>
          <w:lang w:val="it-IT"/>
        </w:rPr>
        <w:t>62,</w:t>
      </w:r>
      <w:r w:rsidR="00980DC6" w:rsidRPr="000742FE">
        <w:rPr>
          <w:rFonts w:ascii="Trebuchet MS" w:hAnsi="Trebuchet MS" w:cstheme="minorHAnsi"/>
          <w:color w:val="000000" w:themeColor="text1"/>
          <w:sz w:val="22"/>
          <w:szCs w:val="22"/>
          <w:lang w:val="it-IT"/>
        </w:rPr>
        <w:t xml:space="preserve"> IC</w:t>
      </w:r>
      <w:r w:rsidR="00175DF2" w:rsidRPr="000742FE">
        <w:rPr>
          <w:rFonts w:ascii="Trebuchet MS" w:hAnsi="Trebuchet MS" w:cstheme="minorHAnsi"/>
          <w:color w:val="000000" w:themeColor="text1"/>
          <w:sz w:val="22"/>
          <w:szCs w:val="22"/>
          <w:lang w:val="it-IT"/>
        </w:rPr>
        <w:t xml:space="preserve"> 95%: 0</w:t>
      </w:r>
      <w:r w:rsidR="003661D0" w:rsidRPr="000742FE">
        <w:rPr>
          <w:rFonts w:ascii="Trebuchet MS" w:hAnsi="Trebuchet MS" w:cstheme="minorHAnsi"/>
          <w:color w:val="000000" w:themeColor="text1"/>
          <w:sz w:val="22"/>
          <w:szCs w:val="22"/>
          <w:lang w:val="it-IT"/>
        </w:rPr>
        <w:t>,</w:t>
      </w:r>
      <w:r w:rsidR="00175DF2" w:rsidRPr="000742FE">
        <w:rPr>
          <w:rFonts w:ascii="Trebuchet MS" w:hAnsi="Trebuchet MS" w:cstheme="minorHAnsi"/>
          <w:color w:val="000000" w:themeColor="text1"/>
          <w:sz w:val="22"/>
          <w:szCs w:val="22"/>
          <w:lang w:val="it-IT"/>
        </w:rPr>
        <w:t>45</w:t>
      </w:r>
      <w:r w:rsidR="00A44D9F" w:rsidRPr="000742FE">
        <w:rPr>
          <w:rFonts w:ascii="Trebuchet MS" w:hAnsi="Trebuchet MS" w:cstheme="minorHAnsi"/>
          <w:color w:val="000000" w:themeColor="text1"/>
          <w:sz w:val="22"/>
          <w:szCs w:val="22"/>
          <w:lang w:val="it-IT"/>
        </w:rPr>
        <w:t xml:space="preserve"> </w:t>
      </w:r>
      <w:r w:rsidR="00980DC6" w:rsidRPr="000742FE">
        <w:rPr>
          <w:rFonts w:ascii="Trebuchet MS" w:hAnsi="Trebuchet MS" w:cstheme="minorHAnsi"/>
          <w:color w:val="000000" w:themeColor="text1"/>
          <w:sz w:val="22"/>
          <w:szCs w:val="22"/>
          <w:lang w:val="it-IT"/>
        </w:rPr>
        <w:t>-</w:t>
      </w:r>
      <w:r w:rsidR="00A44D9F" w:rsidRPr="000742FE">
        <w:rPr>
          <w:rFonts w:ascii="Trebuchet MS" w:hAnsi="Trebuchet MS" w:cstheme="minorHAnsi"/>
          <w:color w:val="000000" w:themeColor="text1"/>
          <w:sz w:val="22"/>
          <w:szCs w:val="22"/>
          <w:lang w:val="it-IT"/>
        </w:rPr>
        <w:t xml:space="preserve"> </w:t>
      </w:r>
      <w:r w:rsidR="00175DF2" w:rsidRPr="000742FE">
        <w:rPr>
          <w:rFonts w:ascii="Trebuchet MS" w:hAnsi="Trebuchet MS" w:cstheme="minorHAnsi"/>
          <w:color w:val="000000" w:themeColor="text1"/>
          <w:sz w:val="22"/>
          <w:szCs w:val="22"/>
          <w:lang w:val="it-IT"/>
        </w:rPr>
        <w:t>0</w:t>
      </w:r>
      <w:r w:rsidR="003661D0" w:rsidRPr="000742FE">
        <w:rPr>
          <w:rFonts w:ascii="Trebuchet MS" w:hAnsi="Trebuchet MS" w:cstheme="minorHAnsi"/>
          <w:color w:val="000000" w:themeColor="text1"/>
          <w:sz w:val="22"/>
          <w:szCs w:val="22"/>
          <w:lang w:val="it-IT"/>
        </w:rPr>
        <w:t>,</w:t>
      </w:r>
      <w:r w:rsidR="00175DF2" w:rsidRPr="000742FE">
        <w:rPr>
          <w:rFonts w:ascii="Trebuchet MS" w:hAnsi="Trebuchet MS" w:cstheme="minorHAnsi"/>
          <w:color w:val="000000" w:themeColor="text1"/>
          <w:sz w:val="22"/>
          <w:szCs w:val="22"/>
          <w:lang w:val="it-IT"/>
        </w:rPr>
        <w:t xml:space="preserve">85) </w:t>
      </w:r>
      <w:r w:rsidRPr="000742FE">
        <w:rPr>
          <w:rFonts w:ascii="Trebuchet MS" w:hAnsi="Trebuchet MS" w:cstheme="minorHAnsi"/>
          <w:color w:val="000000" w:themeColor="text1"/>
          <w:sz w:val="22"/>
          <w:szCs w:val="22"/>
          <w:lang w:val="it-IT"/>
        </w:rPr>
        <w:t xml:space="preserve">e del </w:t>
      </w:r>
      <w:r w:rsidR="00175DF2" w:rsidRPr="000742FE">
        <w:rPr>
          <w:rFonts w:ascii="Trebuchet MS" w:hAnsi="Trebuchet MS" w:cstheme="minorHAnsi"/>
          <w:color w:val="000000" w:themeColor="text1"/>
          <w:sz w:val="22"/>
          <w:szCs w:val="22"/>
          <w:lang w:val="it-IT"/>
        </w:rPr>
        <w:t>36</w:t>
      </w:r>
      <w:r w:rsidR="00FB00C0" w:rsidRPr="000742FE">
        <w:rPr>
          <w:rFonts w:ascii="Trebuchet MS" w:hAnsi="Trebuchet MS" w:cstheme="minorHAnsi"/>
          <w:color w:val="000000" w:themeColor="text1"/>
          <w:sz w:val="22"/>
          <w:szCs w:val="22"/>
          <w:lang w:val="it-IT"/>
        </w:rPr>
        <w:t>%</w:t>
      </w:r>
      <w:r w:rsidR="00175DF2" w:rsidRPr="000742FE">
        <w:rPr>
          <w:rFonts w:ascii="Trebuchet MS" w:hAnsi="Trebuchet MS" w:cstheme="minorHAnsi"/>
          <w:color w:val="000000" w:themeColor="text1"/>
          <w:sz w:val="22"/>
          <w:szCs w:val="22"/>
          <w:lang w:val="it-IT"/>
        </w:rPr>
        <w:t xml:space="preserve"> </w:t>
      </w:r>
      <w:r w:rsidRPr="000742FE">
        <w:rPr>
          <w:rFonts w:ascii="Trebuchet MS" w:hAnsi="Trebuchet MS" w:cstheme="minorHAnsi"/>
          <w:color w:val="000000" w:themeColor="text1"/>
          <w:sz w:val="22"/>
          <w:szCs w:val="22"/>
          <w:lang w:val="it-IT"/>
        </w:rPr>
        <w:t xml:space="preserve">nei pazienti con </w:t>
      </w:r>
      <w:r w:rsidR="0001390E" w:rsidRPr="000742FE">
        <w:rPr>
          <w:rFonts w:ascii="Trebuchet MS" w:hAnsi="Trebuchet MS" w:cstheme="minorHAnsi"/>
          <w:color w:val="000000" w:themeColor="text1"/>
          <w:sz w:val="22"/>
          <w:szCs w:val="22"/>
          <w:lang w:val="it-IT"/>
        </w:rPr>
        <w:t>PD-L1 ≥ 1%</w:t>
      </w:r>
      <w:r w:rsidR="00175DF2" w:rsidRPr="000742FE">
        <w:rPr>
          <w:rFonts w:ascii="Trebuchet MS" w:hAnsi="Trebuchet MS" w:cstheme="minorHAnsi"/>
          <w:color w:val="000000" w:themeColor="text1"/>
          <w:sz w:val="22"/>
          <w:szCs w:val="22"/>
          <w:lang w:val="it-IT"/>
        </w:rPr>
        <w:t xml:space="preserve"> (HR 0</w:t>
      </w:r>
      <w:r w:rsidR="003661D0" w:rsidRPr="000742FE">
        <w:rPr>
          <w:rFonts w:ascii="Trebuchet MS" w:hAnsi="Trebuchet MS" w:cstheme="minorHAnsi"/>
          <w:color w:val="000000" w:themeColor="text1"/>
          <w:sz w:val="22"/>
          <w:szCs w:val="22"/>
          <w:lang w:val="it-IT"/>
        </w:rPr>
        <w:t>,</w:t>
      </w:r>
      <w:r w:rsidR="00175DF2" w:rsidRPr="000742FE">
        <w:rPr>
          <w:rFonts w:ascii="Trebuchet MS" w:hAnsi="Trebuchet MS" w:cstheme="minorHAnsi"/>
          <w:color w:val="000000" w:themeColor="text1"/>
          <w:sz w:val="22"/>
          <w:szCs w:val="22"/>
          <w:lang w:val="it-IT"/>
        </w:rPr>
        <w:t>64,</w:t>
      </w:r>
      <w:r w:rsidR="00980DC6" w:rsidRPr="000742FE">
        <w:rPr>
          <w:rFonts w:ascii="Trebuchet MS" w:hAnsi="Trebuchet MS" w:cstheme="minorHAnsi"/>
          <w:color w:val="000000" w:themeColor="text1"/>
          <w:sz w:val="22"/>
          <w:szCs w:val="22"/>
          <w:lang w:val="it-IT"/>
        </w:rPr>
        <w:t xml:space="preserve"> IC</w:t>
      </w:r>
      <w:r w:rsidR="00175DF2" w:rsidRPr="000742FE">
        <w:rPr>
          <w:rFonts w:ascii="Trebuchet MS" w:hAnsi="Trebuchet MS" w:cstheme="minorHAnsi"/>
          <w:color w:val="000000" w:themeColor="text1"/>
          <w:sz w:val="22"/>
          <w:szCs w:val="22"/>
          <w:lang w:val="it-IT"/>
        </w:rPr>
        <w:t xml:space="preserve"> 95%: 0</w:t>
      </w:r>
      <w:r w:rsidR="003661D0" w:rsidRPr="000742FE">
        <w:rPr>
          <w:rFonts w:ascii="Trebuchet MS" w:hAnsi="Trebuchet MS" w:cstheme="minorHAnsi"/>
          <w:color w:val="000000" w:themeColor="text1"/>
          <w:sz w:val="22"/>
          <w:szCs w:val="22"/>
          <w:lang w:val="it-IT"/>
        </w:rPr>
        <w:t>,</w:t>
      </w:r>
      <w:r w:rsidR="00175DF2" w:rsidRPr="000742FE">
        <w:rPr>
          <w:rFonts w:ascii="Trebuchet MS" w:hAnsi="Trebuchet MS" w:cstheme="minorHAnsi"/>
          <w:color w:val="000000" w:themeColor="text1"/>
          <w:sz w:val="22"/>
          <w:szCs w:val="22"/>
          <w:lang w:val="it-IT"/>
        </w:rPr>
        <w:t>50</w:t>
      </w:r>
      <w:r w:rsidR="00A44D9F" w:rsidRPr="000742FE">
        <w:rPr>
          <w:rFonts w:ascii="Trebuchet MS" w:hAnsi="Trebuchet MS" w:cstheme="minorHAnsi"/>
          <w:color w:val="000000" w:themeColor="text1"/>
          <w:sz w:val="22"/>
          <w:szCs w:val="22"/>
          <w:lang w:val="it-IT"/>
        </w:rPr>
        <w:t xml:space="preserve"> </w:t>
      </w:r>
      <w:r w:rsidR="00980DC6" w:rsidRPr="000742FE">
        <w:rPr>
          <w:rFonts w:ascii="Trebuchet MS" w:hAnsi="Trebuchet MS" w:cstheme="minorHAnsi"/>
          <w:color w:val="000000" w:themeColor="text1"/>
          <w:sz w:val="22"/>
          <w:szCs w:val="22"/>
          <w:lang w:val="it-IT"/>
        </w:rPr>
        <w:t>-</w:t>
      </w:r>
      <w:r w:rsidR="00A44D9F" w:rsidRPr="000742FE">
        <w:rPr>
          <w:rFonts w:ascii="Trebuchet MS" w:hAnsi="Trebuchet MS" w:cstheme="minorHAnsi"/>
          <w:color w:val="000000" w:themeColor="text1"/>
          <w:sz w:val="22"/>
          <w:szCs w:val="22"/>
          <w:lang w:val="it-IT"/>
        </w:rPr>
        <w:t xml:space="preserve"> </w:t>
      </w:r>
      <w:r w:rsidR="00175DF2" w:rsidRPr="000742FE">
        <w:rPr>
          <w:rFonts w:ascii="Trebuchet MS" w:hAnsi="Trebuchet MS" w:cstheme="minorHAnsi"/>
          <w:color w:val="000000" w:themeColor="text1"/>
          <w:sz w:val="22"/>
          <w:szCs w:val="22"/>
          <w:lang w:val="it-IT"/>
        </w:rPr>
        <w:t>0</w:t>
      </w:r>
      <w:r w:rsidR="003661D0" w:rsidRPr="000742FE">
        <w:rPr>
          <w:rFonts w:ascii="Trebuchet MS" w:hAnsi="Trebuchet MS" w:cstheme="minorHAnsi"/>
          <w:color w:val="000000" w:themeColor="text1"/>
          <w:sz w:val="22"/>
          <w:szCs w:val="22"/>
          <w:lang w:val="it-IT"/>
        </w:rPr>
        <w:t>,</w:t>
      </w:r>
      <w:r w:rsidR="00175DF2" w:rsidRPr="000742FE">
        <w:rPr>
          <w:rFonts w:ascii="Trebuchet MS" w:hAnsi="Trebuchet MS" w:cstheme="minorHAnsi"/>
          <w:color w:val="000000" w:themeColor="text1"/>
          <w:sz w:val="22"/>
          <w:szCs w:val="22"/>
          <w:lang w:val="it-IT"/>
        </w:rPr>
        <w:t>82).</w:t>
      </w:r>
      <w:r w:rsidRPr="000742FE">
        <w:rPr>
          <w:rFonts w:ascii="Trebuchet MS" w:hAnsi="Trebuchet MS" w:cstheme="minorHAnsi"/>
          <w:color w:val="000000" w:themeColor="text1"/>
          <w:sz w:val="22"/>
          <w:szCs w:val="22"/>
          <w:lang w:val="it-IT"/>
        </w:rPr>
        <w:t xml:space="preserve"> Inoltre</w:t>
      </w:r>
      <w:r w:rsidR="00175DF2" w:rsidRPr="000742FE">
        <w:rPr>
          <w:rFonts w:ascii="Trebuchet MS" w:hAnsi="Trebuchet MS" w:cstheme="minorHAnsi"/>
          <w:color w:val="000000" w:themeColor="text1"/>
          <w:sz w:val="22"/>
          <w:szCs w:val="22"/>
          <w:lang w:val="it-IT"/>
        </w:rPr>
        <w:t xml:space="preserve">, </w:t>
      </w:r>
      <w:r w:rsidRPr="000742FE">
        <w:rPr>
          <w:rFonts w:ascii="Trebuchet MS" w:hAnsi="Trebuchet MS" w:cstheme="minorHAnsi"/>
          <w:color w:val="000000" w:themeColor="text1"/>
          <w:sz w:val="22"/>
          <w:szCs w:val="22"/>
          <w:lang w:val="it-IT"/>
        </w:rPr>
        <w:t>l</w:t>
      </w:r>
      <w:r w:rsidR="00477461">
        <w:rPr>
          <w:rFonts w:ascii="Trebuchet MS" w:hAnsi="Trebuchet MS" w:cstheme="minorHAnsi"/>
          <w:color w:val="000000" w:themeColor="text1"/>
          <w:sz w:val="22"/>
          <w:szCs w:val="22"/>
          <w:lang w:val="it-IT"/>
        </w:rPr>
        <w:t>’</w:t>
      </w:r>
      <w:r w:rsidR="00DD481B" w:rsidRPr="000742FE">
        <w:rPr>
          <w:rFonts w:ascii="Trebuchet MS" w:hAnsi="Trebuchet MS" w:cstheme="minorHAnsi"/>
          <w:color w:val="000000" w:themeColor="text1"/>
          <w:sz w:val="22"/>
          <w:szCs w:val="22"/>
          <w:lang w:val="it-IT"/>
        </w:rPr>
        <w:t xml:space="preserve">associazione </w:t>
      </w:r>
      <w:r w:rsidRPr="000742FE">
        <w:rPr>
          <w:rFonts w:ascii="Trebuchet MS" w:hAnsi="Trebuchet MS" w:cstheme="minorHAnsi"/>
          <w:color w:val="000000" w:themeColor="text1"/>
          <w:sz w:val="22"/>
          <w:szCs w:val="22"/>
          <w:lang w:val="it-IT"/>
        </w:rPr>
        <w:t>d</w:t>
      </w:r>
      <w:r w:rsidR="00DD481B" w:rsidRPr="000742FE">
        <w:rPr>
          <w:rFonts w:ascii="Trebuchet MS" w:hAnsi="Trebuchet MS" w:cstheme="minorHAnsi"/>
          <w:color w:val="000000" w:themeColor="text1"/>
          <w:sz w:val="22"/>
          <w:szCs w:val="22"/>
          <w:lang w:val="it-IT"/>
        </w:rPr>
        <w:t>e</w:t>
      </w:r>
      <w:r w:rsidRPr="000742FE">
        <w:rPr>
          <w:rFonts w:ascii="Trebuchet MS" w:hAnsi="Trebuchet MS" w:cstheme="minorHAnsi"/>
          <w:color w:val="000000" w:themeColor="text1"/>
          <w:sz w:val="22"/>
          <w:szCs w:val="22"/>
          <w:lang w:val="it-IT"/>
        </w:rPr>
        <w:t xml:space="preserve">i due </w:t>
      </w:r>
      <w:proofErr w:type="spellStart"/>
      <w:r w:rsidRPr="000742FE">
        <w:rPr>
          <w:rFonts w:ascii="Trebuchet MS" w:hAnsi="Trebuchet MS" w:cstheme="minorHAnsi"/>
          <w:color w:val="000000" w:themeColor="text1"/>
          <w:sz w:val="22"/>
          <w:szCs w:val="22"/>
          <w:lang w:val="it-IT"/>
        </w:rPr>
        <w:t>immunoterapici</w:t>
      </w:r>
      <w:proofErr w:type="spellEnd"/>
      <w:r w:rsidRPr="000742FE">
        <w:rPr>
          <w:rFonts w:ascii="Trebuchet MS" w:hAnsi="Trebuchet MS" w:cstheme="minorHAnsi"/>
          <w:color w:val="000000" w:themeColor="text1"/>
          <w:sz w:val="22"/>
          <w:szCs w:val="22"/>
          <w:lang w:val="it-IT"/>
        </w:rPr>
        <w:t xml:space="preserve"> e chemioterapia ha mostrato un tasso di sopravvivenza libera da progressione del </w:t>
      </w:r>
      <w:r w:rsidR="00175DF2" w:rsidRPr="000742FE">
        <w:rPr>
          <w:rFonts w:ascii="Trebuchet MS" w:hAnsi="Trebuchet MS" w:cstheme="minorHAnsi"/>
          <w:color w:val="000000" w:themeColor="text1"/>
          <w:sz w:val="22"/>
          <w:szCs w:val="22"/>
          <w:lang w:val="it-IT"/>
        </w:rPr>
        <w:t>33</w:t>
      </w:r>
      <w:r w:rsidR="00A44D9F" w:rsidRPr="000742FE">
        <w:rPr>
          <w:rFonts w:ascii="Trebuchet MS" w:hAnsi="Trebuchet MS" w:cstheme="minorHAnsi"/>
          <w:color w:val="000000" w:themeColor="text1"/>
          <w:sz w:val="22"/>
          <w:szCs w:val="22"/>
          <w:lang w:val="it-IT"/>
        </w:rPr>
        <w:t>%</w:t>
      </w:r>
      <w:r w:rsidR="00175DF2" w:rsidRPr="000742FE">
        <w:rPr>
          <w:rFonts w:ascii="Trebuchet MS" w:hAnsi="Trebuchet MS" w:cstheme="minorHAnsi"/>
          <w:color w:val="000000" w:themeColor="text1"/>
          <w:sz w:val="22"/>
          <w:szCs w:val="22"/>
          <w:lang w:val="it-IT"/>
        </w:rPr>
        <w:t xml:space="preserve"> </w:t>
      </w:r>
      <w:r w:rsidRPr="000742FE">
        <w:rPr>
          <w:rFonts w:ascii="Trebuchet MS" w:hAnsi="Trebuchet MS" w:cstheme="minorHAnsi"/>
          <w:color w:val="000000" w:themeColor="text1"/>
          <w:sz w:val="22"/>
          <w:szCs w:val="22"/>
          <w:lang w:val="it-IT"/>
        </w:rPr>
        <w:t xml:space="preserve">a un anno </w:t>
      </w:r>
      <w:r w:rsidR="003661D0" w:rsidRPr="000742FE">
        <w:rPr>
          <w:rFonts w:ascii="Trebuchet MS" w:hAnsi="Trebuchet MS" w:cstheme="minorHAnsi"/>
          <w:color w:val="000000" w:themeColor="text1"/>
          <w:sz w:val="22"/>
          <w:szCs w:val="22"/>
          <w:lang w:val="it-IT"/>
        </w:rPr>
        <w:t>rispetto al</w:t>
      </w:r>
      <w:r w:rsidR="00175DF2" w:rsidRPr="000742FE">
        <w:rPr>
          <w:rFonts w:ascii="Trebuchet MS" w:hAnsi="Trebuchet MS" w:cstheme="minorHAnsi"/>
          <w:color w:val="000000" w:themeColor="text1"/>
          <w:sz w:val="22"/>
          <w:szCs w:val="22"/>
          <w:lang w:val="it-IT"/>
        </w:rPr>
        <w:t xml:space="preserve"> 18</w:t>
      </w:r>
      <w:r w:rsidR="00A44D9F" w:rsidRPr="000742FE">
        <w:rPr>
          <w:rFonts w:ascii="Trebuchet MS" w:hAnsi="Trebuchet MS" w:cstheme="minorHAnsi"/>
          <w:color w:val="000000" w:themeColor="text1"/>
          <w:sz w:val="22"/>
          <w:szCs w:val="22"/>
          <w:lang w:val="it-IT"/>
        </w:rPr>
        <w:t>%</w:t>
      </w:r>
      <w:r w:rsidR="00175DF2" w:rsidRPr="000742FE">
        <w:rPr>
          <w:rFonts w:ascii="Trebuchet MS" w:hAnsi="Trebuchet MS" w:cstheme="minorHAnsi"/>
          <w:color w:val="000000" w:themeColor="text1"/>
          <w:sz w:val="22"/>
          <w:szCs w:val="22"/>
          <w:lang w:val="it-IT"/>
        </w:rPr>
        <w:t xml:space="preserve"> </w:t>
      </w:r>
      <w:r w:rsidRPr="000742FE">
        <w:rPr>
          <w:rFonts w:ascii="Trebuchet MS" w:hAnsi="Trebuchet MS" w:cstheme="minorHAnsi"/>
          <w:color w:val="000000" w:themeColor="text1"/>
          <w:sz w:val="22"/>
          <w:szCs w:val="22"/>
          <w:lang w:val="it-IT"/>
        </w:rPr>
        <w:t xml:space="preserve">per la </w:t>
      </w:r>
      <w:r w:rsidR="00175DF2" w:rsidRPr="000742FE">
        <w:rPr>
          <w:rFonts w:ascii="Trebuchet MS" w:hAnsi="Trebuchet MS" w:cstheme="minorHAnsi"/>
          <w:color w:val="000000" w:themeColor="text1"/>
          <w:sz w:val="22"/>
          <w:szCs w:val="22"/>
          <w:lang w:val="it-IT"/>
        </w:rPr>
        <w:t>chem</w:t>
      </w:r>
      <w:r w:rsidR="00304E28" w:rsidRPr="000742FE">
        <w:rPr>
          <w:rFonts w:ascii="Trebuchet MS" w:hAnsi="Trebuchet MS" w:cstheme="minorHAnsi"/>
          <w:color w:val="000000" w:themeColor="text1"/>
          <w:sz w:val="22"/>
          <w:szCs w:val="22"/>
          <w:lang w:val="it-IT"/>
        </w:rPr>
        <w:t>i</w:t>
      </w:r>
      <w:r w:rsidR="00175DF2" w:rsidRPr="000742FE">
        <w:rPr>
          <w:rFonts w:ascii="Trebuchet MS" w:hAnsi="Trebuchet MS" w:cstheme="minorHAnsi"/>
          <w:color w:val="000000" w:themeColor="text1"/>
          <w:sz w:val="22"/>
          <w:szCs w:val="22"/>
          <w:lang w:val="it-IT"/>
        </w:rPr>
        <w:t>oterap</w:t>
      </w:r>
      <w:r w:rsidR="00304E28" w:rsidRPr="000742FE">
        <w:rPr>
          <w:rFonts w:ascii="Trebuchet MS" w:hAnsi="Trebuchet MS" w:cstheme="minorHAnsi"/>
          <w:color w:val="000000" w:themeColor="text1"/>
          <w:sz w:val="22"/>
          <w:szCs w:val="22"/>
          <w:lang w:val="it-IT"/>
        </w:rPr>
        <w:t>ia</w:t>
      </w:r>
      <w:r w:rsidR="00175DF2" w:rsidRPr="000742FE">
        <w:rPr>
          <w:rFonts w:ascii="Trebuchet MS" w:hAnsi="Trebuchet MS" w:cstheme="minorHAnsi"/>
          <w:color w:val="000000" w:themeColor="text1"/>
          <w:sz w:val="22"/>
          <w:szCs w:val="22"/>
          <w:lang w:val="it-IT"/>
        </w:rPr>
        <w:t xml:space="preserve"> (HR 0</w:t>
      </w:r>
      <w:r w:rsidR="003661D0" w:rsidRPr="000742FE">
        <w:rPr>
          <w:rFonts w:ascii="Trebuchet MS" w:hAnsi="Trebuchet MS" w:cstheme="minorHAnsi"/>
          <w:color w:val="000000" w:themeColor="text1"/>
          <w:sz w:val="22"/>
          <w:szCs w:val="22"/>
          <w:lang w:val="it-IT"/>
        </w:rPr>
        <w:t>,</w:t>
      </w:r>
      <w:r w:rsidR="00175DF2" w:rsidRPr="000742FE">
        <w:rPr>
          <w:rFonts w:ascii="Trebuchet MS" w:hAnsi="Trebuchet MS" w:cstheme="minorHAnsi"/>
          <w:color w:val="000000" w:themeColor="text1"/>
          <w:sz w:val="22"/>
          <w:szCs w:val="22"/>
          <w:lang w:val="it-IT"/>
        </w:rPr>
        <w:t>68,</w:t>
      </w:r>
      <w:r w:rsidR="00980DC6" w:rsidRPr="000742FE">
        <w:rPr>
          <w:rFonts w:ascii="Trebuchet MS" w:hAnsi="Trebuchet MS" w:cstheme="minorHAnsi"/>
          <w:color w:val="000000" w:themeColor="text1"/>
          <w:sz w:val="22"/>
          <w:szCs w:val="22"/>
          <w:lang w:val="it-IT"/>
        </w:rPr>
        <w:t xml:space="preserve"> IC</w:t>
      </w:r>
      <w:r w:rsidR="00175DF2" w:rsidRPr="000742FE">
        <w:rPr>
          <w:rFonts w:ascii="Trebuchet MS" w:hAnsi="Trebuchet MS" w:cstheme="minorHAnsi"/>
          <w:color w:val="000000" w:themeColor="text1"/>
          <w:sz w:val="22"/>
          <w:szCs w:val="22"/>
          <w:lang w:val="it-IT"/>
        </w:rPr>
        <w:t xml:space="preserve"> 95%: 0</w:t>
      </w:r>
      <w:r w:rsidR="003661D0" w:rsidRPr="000742FE">
        <w:rPr>
          <w:rFonts w:ascii="Trebuchet MS" w:hAnsi="Trebuchet MS" w:cstheme="minorHAnsi"/>
          <w:color w:val="000000" w:themeColor="text1"/>
          <w:sz w:val="22"/>
          <w:szCs w:val="22"/>
          <w:lang w:val="it-IT"/>
        </w:rPr>
        <w:t>,</w:t>
      </w:r>
      <w:r w:rsidR="00175DF2" w:rsidRPr="000742FE">
        <w:rPr>
          <w:rFonts w:ascii="Trebuchet MS" w:hAnsi="Trebuchet MS" w:cstheme="minorHAnsi"/>
          <w:color w:val="000000" w:themeColor="text1"/>
          <w:sz w:val="22"/>
          <w:szCs w:val="22"/>
          <w:lang w:val="it-IT"/>
        </w:rPr>
        <w:t>57</w:t>
      </w:r>
      <w:r w:rsidR="00A44D9F" w:rsidRPr="000742FE">
        <w:rPr>
          <w:rFonts w:ascii="Trebuchet MS" w:hAnsi="Trebuchet MS" w:cstheme="minorHAnsi"/>
          <w:color w:val="000000" w:themeColor="text1"/>
          <w:sz w:val="22"/>
          <w:szCs w:val="22"/>
          <w:lang w:val="it-IT"/>
        </w:rPr>
        <w:t xml:space="preserve"> </w:t>
      </w:r>
      <w:r w:rsidR="00980DC6" w:rsidRPr="000742FE">
        <w:rPr>
          <w:rFonts w:ascii="Trebuchet MS" w:hAnsi="Trebuchet MS" w:cstheme="minorHAnsi"/>
          <w:color w:val="000000" w:themeColor="text1"/>
          <w:sz w:val="22"/>
          <w:szCs w:val="22"/>
          <w:lang w:val="it-IT"/>
        </w:rPr>
        <w:t>-</w:t>
      </w:r>
      <w:r w:rsidR="00A44D9F" w:rsidRPr="000742FE">
        <w:rPr>
          <w:rFonts w:ascii="Trebuchet MS" w:hAnsi="Trebuchet MS" w:cstheme="minorHAnsi"/>
          <w:color w:val="000000" w:themeColor="text1"/>
          <w:sz w:val="22"/>
          <w:szCs w:val="22"/>
          <w:lang w:val="it-IT"/>
        </w:rPr>
        <w:t xml:space="preserve"> </w:t>
      </w:r>
      <w:r w:rsidR="00175DF2" w:rsidRPr="000742FE">
        <w:rPr>
          <w:rFonts w:ascii="Trebuchet MS" w:hAnsi="Trebuchet MS" w:cstheme="minorHAnsi"/>
          <w:color w:val="000000" w:themeColor="text1"/>
          <w:sz w:val="22"/>
          <w:szCs w:val="22"/>
          <w:lang w:val="it-IT"/>
        </w:rPr>
        <w:t>0</w:t>
      </w:r>
      <w:r w:rsidR="003661D0" w:rsidRPr="000742FE">
        <w:rPr>
          <w:rFonts w:ascii="Trebuchet MS" w:hAnsi="Trebuchet MS" w:cstheme="minorHAnsi"/>
          <w:color w:val="000000" w:themeColor="text1"/>
          <w:sz w:val="22"/>
          <w:szCs w:val="22"/>
          <w:lang w:val="it-IT"/>
        </w:rPr>
        <w:t>,</w:t>
      </w:r>
      <w:r w:rsidR="00175DF2" w:rsidRPr="000742FE">
        <w:rPr>
          <w:rFonts w:ascii="Trebuchet MS" w:hAnsi="Trebuchet MS" w:cstheme="minorHAnsi"/>
          <w:color w:val="000000" w:themeColor="text1"/>
          <w:sz w:val="22"/>
          <w:szCs w:val="22"/>
          <w:lang w:val="it-IT"/>
        </w:rPr>
        <w:t>82)</w:t>
      </w:r>
      <w:r w:rsidR="00E87F55" w:rsidRPr="000742FE">
        <w:rPr>
          <w:rFonts w:ascii="Trebuchet MS" w:hAnsi="Trebuchet MS" w:cstheme="minorHAnsi"/>
          <w:color w:val="000000" w:themeColor="text1"/>
          <w:sz w:val="22"/>
          <w:szCs w:val="22"/>
          <w:lang w:val="it-IT"/>
        </w:rPr>
        <w:t xml:space="preserve">, </w:t>
      </w:r>
      <w:r w:rsidRPr="000742FE">
        <w:rPr>
          <w:rFonts w:ascii="Trebuchet MS" w:hAnsi="Trebuchet MS" w:cstheme="minorHAnsi"/>
          <w:color w:val="000000" w:themeColor="text1"/>
          <w:sz w:val="22"/>
          <w:szCs w:val="22"/>
          <w:lang w:val="it-IT"/>
        </w:rPr>
        <w:t>e un tasso di risposta globale (</w:t>
      </w:r>
      <w:r w:rsidR="00E87F55" w:rsidRPr="000742FE">
        <w:rPr>
          <w:rFonts w:ascii="Trebuchet MS" w:hAnsi="Trebuchet MS" w:cstheme="minorHAnsi"/>
          <w:color w:val="000000" w:themeColor="text1"/>
          <w:sz w:val="22"/>
          <w:szCs w:val="22"/>
          <w:lang w:val="it-IT"/>
        </w:rPr>
        <w:t>ORR</w:t>
      </w:r>
      <w:r w:rsidRPr="000742FE">
        <w:rPr>
          <w:rFonts w:ascii="Trebuchet MS" w:hAnsi="Trebuchet MS" w:cstheme="minorHAnsi"/>
          <w:color w:val="000000" w:themeColor="text1"/>
          <w:sz w:val="22"/>
          <w:szCs w:val="22"/>
          <w:lang w:val="it-IT"/>
        </w:rPr>
        <w:t>)</w:t>
      </w:r>
      <w:r w:rsidR="00E87F55" w:rsidRPr="000742FE">
        <w:rPr>
          <w:rFonts w:ascii="Trebuchet MS" w:hAnsi="Trebuchet MS" w:cstheme="minorHAnsi"/>
          <w:color w:val="000000" w:themeColor="text1"/>
          <w:sz w:val="22"/>
          <w:szCs w:val="22"/>
          <w:lang w:val="it-IT"/>
        </w:rPr>
        <w:t xml:space="preserve"> </w:t>
      </w:r>
      <w:r w:rsidRPr="000742FE">
        <w:rPr>
          <w:rFonts w:ascii="Trebuchet MS" w:hAnsi="Trebuchet MS" w:cstheme="minorHAnsi"/>
          <w:color w:val="000000" w:themeColor="text1"/>
          <w:sz w:val="22"/>
          <w:szCs w:val="22"/>
          <w:lang w:val="it-IT"/>
        </w:rPr>
        <w:t xml:space="preserve">del </w:t>
      </w:r>
      <w:r w:rsidR="00E87F55" w:rsidRPr="000742FE">
        <w:rPr>
          <w:rFonts w:ascii="Trebuchet MS" w:hAnsi="Trebuchet MS" w:cstheme="minorHAnsi"/>
          <w:color w:val="000000" w:themeColor="text1"/>
          <w:sz w:val="22"/>
          <w:szCs w:val="22"/>
          <w:lang w:val="it-IT"/>
        </w:rPr>
        <w:t>38</w:t>
      </w:r>
      <w:r w:rsidR="00A44D9F" w:rsidRPr="000742FE">
        <w:rPr>
          <w:rFonts w:ascii="Trebuchet MS" w:hAnsi="Trebuchet MS" w:cstheme="minorHAnsi"/>
          <w:color w:val="000000" w:themeColor="text1"/>
          <w:sz w:val="22"/>
          <w:szCs w:val="22"/>
          <w:lang w:val="it-IT"/>
        </w:rPr>
        <w:t>%</w:t>
      </w:r>
      <w:r w:rsidR="00E87F55" w:rsidRPr="000742FE">
        <w:rPr>
          <w:rFonts w:ascii="Trebuchet MS" w:hAnsi="Trebuchet MS" w:cstheme="minorHAnsi"/>
          <w:color w:val="000000" w:themeColor="text1"/>
          <w:sz w:val="22"/>
          <w:szCs w:val="22"/>
          <w:lang w:val="it-IT"/>
        </w:rPr>
        <w:t xml:space="preserve"> </w:t>
      </w:r>
      <w:r w:rsidRPr="000742FE">
        <w:rPr>
          <w:rFonts w:ascii="Trebuchet MS" w:hAnsi="Trebuchet MS" w:cstheme="minorHAnsi"/>
          <w:color w:val="000000" w:themeColor="text1"/>
          <w:sz w:val="22"/>
          <w:szCs w:val="22"/>
          <w:lang w:val="it-IT"/>
        </w:rPr>
        <w:t xml:space="preserve">rispetto al </w:t>
      </w:r>
      <w:r w:rsidR="00E87F55" w:rsidRPr="000742FE">
        <w:rPr>
          <w:rFonts w:ascii="Trebuchet MS" w:hAnsi="Trebuchet MS" w:cstheme="minorHAnsi"/>
          <w:color w:val="000000" w:themeColor="text1"/>
          <w:sz w:val="22"/>
          <w:szCs w:val="22"/>
          <w:lang w:val="it-IT"/>
        </w:rPr>
        <w:t>25</w:t>
      </w:r>
      <w:r w:rsidR="00A44D9F" w:rsidRPr="000742FE">
        <w:rPr>
          <w:rFonts w:ascii="Trebuchet MS" w:hAnsi="Trebuchet MS" w:cstheme="minorHAnsi"/>
          <w:color w:val="000000" w:themeColor="text1"/>
          <w:sz w:val="22"/>
          <w:szCs w:val="22"/>
          <w:lang w:val="it-IT"/>
        </w:rPr>
        <w:t>%</w:t>
      </w:r>
      <w:r w:rsidR="00E87F55" w:rsidRPr="000742FE">
        <w:rPr>
          <w:rFonts w:ascii="Trebuchet MS" w:hAnsi="Trebuchet MS" w:cstheme="minorHAnsi"/>
          <w:color w:val="000000" w:themeColor="text1"/>
          <w:sz w:val="22"/>
          <w:szCs w:val="22"/>
          <w:lang w:val="it-IT"/>
        </w:rPr>
        <w:t xml:space="preserve"> </w:t>
      </w:r>
      <w:r w:rsidRPr="000742FE">
        <w:rPr>
          <w:rFonts w:ascii="Trebuchet MS" w:hAnsi="Trebuchet MS" w:cstheme="minorHAnsi"/>
          <w:color w:val="000000" w:themeColor="text1"/>
          <w:sz w:val="22"/>
          <w:szCs w:val="22"/>
          <w:lang w:val="it-IT"/>
        </w:rPr>
        <w:t>per la sola chemioterapia</w:t>
      </w:r>
      <w:r w:rsidR="00E87F55" w:rsidRPr="000742FE">
        <w:rPr>
          <w:rFonts w:ascii="Trebuchet MS" w:hAnsi="Trebuchet MS" w:cstheme="minorHAnsi"/>
          <w:color w:val="000000" w:themeColor="text1"/>
          <w:sz w:val="22"/>
          <w:szCs w:val="22"/>
          <w:lang w:val="it-IT"/>
        </w:rPr>
        <w:t>.</w:t>
      </w:r>
    </w:p>
    <w:p w14:paraId="72BF0357" w14:textId="061530A5" w:rsidR="000E73FF" w:rsidRPr="000742FE" w:rsidRDefault="00792EEB" w:rsidP="00B85040">
      <w:pPr>
        <w:spacing w:line="360" w:lineRule="auto"/>
        <w:ind w:firstLine="720"/>
        <w:contextualSpacing/>
        <w:jc w:val="both"/>
        <w:rPr>
          <w:rFonts w:ascii="Trebuchet MS" w:hAnsi="Trebuchet MS" w:cstheme="minorHAnsi"/>
          <w:color w:val="000000" w:themeColor="text1"/>
          <w:sz w:val="22"/>
          <w:szCs w:val="22"/>
          <w:lang w:val="it-IT"/>
        </w:rPr>
      </w:pPr>
      <w:r w:rsidRPr="000742FE">
        <w:rPr>
          <w:rFonts w:ascii="Trebuchet MS" w:hAnsi="Trebuchet MS" w:cstheme="minorHAnsi"/>
          <w:color w:val="000000" w:themeColor="text1"/>
          <w:sz w:val="22"/>
          <w:szCs w:val="22"/>
          <w:lang w:val="it-IT"/>
        </w:rPr>
        <w:t>“</w:t>
      </w:r>
      <w:r w:rsidR="00304E28" w:rsidRPr="000742FE">
        <w:rPr>
          <w:rFonts w:ascii="Trebuchet MS" w:hAnsi="Trebuchet MS" w:cstheme="minorHAnsi"/>
          <w:color w:val="000000" w:themeColor="text1"/>
          <w:sz w:val="22"/>
          <w:szCs w:val="22"/>
          <w:lang w:val="it-IT"/>
        </w:rPr>
        <w:t>Poichè ogni paziente con una diagnosi di tumore del polmone non a piccol</w:t>
      </w:r>
      <w:r w:rsidR="009B3FB0" w:rsidRPr="000742FE">
        <w:rPr>
          <w:rFonts w:ascii="Trebuchet MS" w:hAnsi="Trebuchet MS" w:cstheme="minorHAnsi"/>
          <w:color w:val="000000" w:themeColor="text1"/>
          <w:sz w:val="22"/>
          <w:szCs w:val="22"/>
          <w:lang w:val="it-IT"/>
        </w:rPr>
        <w:t>e</w:t>
      </w:r>
      <w:r w:rsidR="00304E28" w:rsidRPr="000742FE">
        <w:rPr>
          <w:rFonts w:ascii="Trebuchet MS" w:hAnsi="Trebuchet MS" w:cstheme="minorHAnsi"/>
          <w:color w:val="000000" w:themeColor="text1"/>
          <w:sz w:val="22"/>
          <w:szCs w:val="22"/>
          <w:lang w:val="it-IT"/>
        </w:rPr>
        <w:t xml:space="preserve"> cellule metastatico è unico, abbiamo impostato il nostro programma di sviluppo con lo scopo di offrire soluzioni potenzialmente durature al </w:t>
      </w:r>
      <w:r w:rsidR="00A92AE3" w:rsidRPr="000742FE">
        <w:rPr>
          <w:rFonts w:ascii="Trebuchet MS" w:hAnsi="Trebuchet MS" w:cstheme="minorHAnsi"/>
          <w:color w:val="000000" w:themeColor="text1"/>
          <w:sz w:val="22"/>
          <w:szCs w:val="22"/>
          <w:lang w:val="it-IT"/>
        </w:rPr>
        <w:t>significativo</w:t>
      </w:r>
      <w:r w:rsidR="00304E28" w:rsidRPr="000742FE">
        <w:rPr>
          <w:rFonts w:ascii="Trebuchet MS" w:hAnsi="Trebuchet MS" w:cstheme="minorHAnsi"/>
          <w:color w:val="000000" w:themeColor="text1"/>
          <w:sz w:val="22"/>
          <w:szCs w:val="22"/>
          <w:lang w:val="it-IT"/>
        </w:rPr>
        <w:t xml:space="preserve"> numero di pazienti in prima linea che necessitano di nuove opzioni</w:t>
      </w:r>
      <w:r w:rsidRPr="000742FE">
        <w:rPr>
          <w:rFonts w:ascii="Trebuchet MS" w:hAnsi="Trebuchet MS" w:cstheme="minorHAnsi"/>
          <w:color w:val="000000" w:themeColor="text1"/>
          <w:sz w:val="22"/>
          <w:szCs w:val="22"/>
          <w:lang w:val="it-IT"/>
        </w:rPr>
        <w:t xml:space="preserve">” </w:t>
      </w:r>
      <w:r w:rsidR="00304E28" w:rsidRPr="000742FE">
        <w:rPr>
          <w:rFonts w:ascii="Trebuchet MS" w:hAnsi="Trebuchet MS" w:cstheme="minorHAnsi"/>
          <w:color w:val="000000" w:themeColor="text1"/>
          <w:sz w:val="22"/>
          <w:szCs w:val="22"/>
          <w:lang w:val="it-IT"/>
        </w:rPr>
        <w:t>afferma</w:t>
      </w:r>
      <w:r w:rsidRPr="000742FE">
        <w:rPr>
          <w:rFonts w:ascii="Trebuchet MS" w:hAnsi="Trebuchet MS" w:cstheme="minorHAnsi"/>
          <w:color w:val="000000" w:themeColor="text1"/>
          <w:sz w:val="22"/>
          <w:szCs w:val="22"/>
          <w:lang w:val="it-IT"/>
        </w:rPr>
        <w:t xml:space="preserve"> </w:t>
      </w:r>
      <w:r w:rsidR="00EF7029" w:rsidRPr="000742FE">
        <w:rPr>
          <w:rFonts w:ascii="Trebuchet MS" w:hAnsi="Trebuchet MS" w:cstheme="minorHAnsi"/>
          <w:color w:val="000000" w:themeColor="text1"/>
          <w:sz w:val="22"/>
          <w:szCs w:val="22"/>
          <w:lang w:val="it-IT"/>
        </w:rPr>
        <w:t xml:space="preserve">Nick Botwood, </w:t>
      </w:r>
      <w:r w:rsidR="00F73970" w:rsidRPr="000742FE">
        <w:rPr>
          <w:rFonts w:ascii="Trebuchet MS" w:hAnsi="Trebuchet MS" w:cstheme="minorHAnsi"/>
          <w:color w:val="000000" w:themeColor="text1"/>
          <w:sz w:val="22"/>
          <w:szCs w:val="22"/>
          <w:lang w:val="it-IT"/>
        </w:rPr>
        <w:t>M</w:t>
      </w:r>
      <w:r w:rsidR="00654A9D" w:rsidRPr="000742FE">
        <w:rPr>
          <w:rFonts w:ascii="Trebuchet MS" w:hAnsi="Trebuchet MS" w:cstheme="minorHAnsi"/>
          <w:color w:val="000000" w:themeColor="text1"/>
          <w:sz w:val="22"/>
          <w:szCs w:val="22"/>
          <w:lang w:val="it-IT"/>
        </w:rPr>
        <w:t>.</w:t>
      </w:r>
      <w:r w:rsidR="00F73970" w:rsidRPr="000742FE">
        <w:rPr>
          <w:rFonts w:ascii="Trebuchet MS" w:hAnsi="Trebuchet MS" w:cstheme="minorHAnsi"/>
          <w:color w:val="000000" w:themeColor="text1"/>
          <w:sz w:val="22"/>
          <w:szCs w:val="22"/>
          <w:lang w:val="it-IT"/>
        </w:rPr>
        <w:t>D</w:t>
      </w:r>
      <w:r w:rsidR="00654A9D" w:rsidRPr="000742FE">
        <w:rPr>
          <w:rFonts w:ascii="Trebuchet MS" w:hAnsi="Trebuchet MS" w:cstheme="minorHAnsi"/>
          <w:color w:val="000000" w:themeColor="text1"/>
          <w:sz w:val="22"/>
          <w:szCs w:val="22"/>
          <w:lang w:val="it-IT"/>
        </w:rPr>
        <w:t>.</w:t>
      </w:r>
      <w:r w:rsidR="00F73970" w:rsidRPr="000742FE">
        <w:rPr>
          <w:rFonts w:ascii="Trebuchet MS" w:hAnsi="Trebuchet MS" w:cstheme="minorHAnsi"/>
          <w:color w:val="000000" w:themeColor="text1"/>
          <w:sz w:val="22"/>
          <w:szCs w:val="22"/>
          <w:lang w:val="it-IT"/>
        </w:rPr>
        <w:t xml:space="preserve">, </w:t>
      </w:r>
      <w:r w:rsidR="00A44D9F" w:rsidRPr="000742FE">
        <w:rPr>
          <w:rFonts w:ascii="Trebuchet MS" w:hAnsi="Trebuchet MS" w:cstheme="minorHAnsi"/>
          <w:color w:val="000000" w:themeColor="text1"/>
          <w:sz w:val="22"/>
          <w:szCs w:val="22"/>
          <w:lang w:val="it-IT"/>
        </w:rPr>
        <w:t>v</w:t>
      </w:r>
      <w:r w:rsidR="00F73970" w:rsidRPr="000742FE">
        <w:rPr>
          <w:rFonts w:ascii="Trebuchet MS" w:hAnsi="Trebuchet MS" w:cstheme="minorHAnsi"/>
          <w:color w:val="000000" w:themeColor="text1"/>
          <w:sz w:val="22"/>
          <w:szCs w:val="22"/>
          <w:lang w:val="it-IT"/>
        </w:rPr>
        <w:t xml:space="preserve">ice </w:t>
      </w:r>
      <w:r w:rsidR="00A44D9F" w:rsidRPr="000742FE">
        <w:rPr>
          <w:rFonts w:ascii="Trebuchet MS" w:hAnsi="Trebuchet MS" w:cstheme="minorHAnsi"/>
          <w:color w:val="000000" w:themeColor="text1"/>
          <w:sz w:val="22"/>
          <w:szCs w:val="22"/>
          <w:lang w:val="it-IT"/>
        </w:rPr>
        <w:t>p</w:t>
      </w:r>
      <w:r w:rsidR="00F73970" w:rsidRPr="000742FE">
        <w:rPr>
          <w:rFonts w:ascii="Trebuchet MS" w:hAnsi="Trebuchet MS" w:cstheme="minorHAnsi"/>
          <w:color w:val="000000" w:themeColor="text1"/>
          <w:sz w:val="22"/>
          <w:szCs w:val="22"/>
          <w:lang w:val="it-IT"/>
        </w:rPr>
        <w:t>resident</w:t>
      </w:r>
      <w:r w:rsidR="00304E28" w:rsidRPr="000742FE">
        <w:rPr>
          <w:rFonts w:ascii="Trebuchet MS" w:hAnsi="Trebuchet MS" w:cstheme="minorHAnsi"/>
          <w:color w:val="000000" w:themeColor="text1"/>
          <w:sz w:val="22"/>
          <w:szCs w:val="22"/>
          <w:lang w:val="it-IT"/>
        </w:rPr>
        <w:t>e</w:t>
      </w:r>
      <w:r w:rsidR="00F73970" w:rsidRPr="000742FE">
        <w:rPr>
          <w:rFonts w:ascii="Trebuchet MS" w:hAnsi="Trebuchet MS" w:cstheme="minorHAnsi"/>
          <w:color w:val="000000" w:themeColor="text1"/>
          <w:sz w:val="22"/>
          <w:szCs w:val="22"/>
          <w:lang w:val="it-IT"/>
        </w:rPr>
        <w:t xml:space="preserve">, Oncology </w:t>
      </w:r>
      <w:r w:rsidR="008917D3" w:rsidRPr="000742FE">
        <w:rPr>
          <w:rFonts w:ascii="Trebuchet MS" w:hAnsi="Trebuchet MS" w:cstheme="minorHAnsi"/>
          <w:color w:val="000000" w:themeColor="text1"/>
          <w:sz w:val="22"/>
          <w:szCs w:val="22"/>
          <w:lang w:val="it-IT"/>
        </w:rPr>
        <w:t xml:space="preserve">Clinical </w:t>
      </w:r>
      <w:r w:rsidR="00F73970" w:rsidRPr="000742FE">
        <w:rPr>
          <w:rFonts w:ascii="Trebuchet MS" w:hAnsi="Trebuchet MS" w:cstheme="minorHAnsi"/>
          <w:color w:val="000000" w:themeColor="text1"/>
          <w:sz w:val="22"/>
          <w:szCs w:val="22"/>
          <w:lang w:val="it-IT"/>
        </w:rPr>
        <w:t xml:space="preserve">Development, </w:t>
      </w:r>
      <w:r w:rsidRPr="000742FE">
        <w:rPr>
          <w:rFonts w:ascii="Trebuchet MS" w:hAnsi="Trebuchet MS" w:cstheme="minorHAnsi"/>
          <w:color w:val="000000" w:themeColor="text1"/>
          <w:sz w:val="22"/>
          <w:szCs w:val="22"/>
          <w:lang w:val="it-IT"/>
        </w:rPr>
        <w:t>Bristol Myers Squibb. “</w:t>
      </w:r>
      <w:r w:rsidR="00304E28" w:rsidRPr="000742FE">
        <w:rPr>
          <w:rFonts w:ascii="Trebuchet MS" w:hAnsi="Trebuchet MS" w:cstheme="minorHAnsi"/>
          <w:color w:val="000000" w:themeColor="text1"/>
          <w:sz w:val="22"/>
          <w:szCs w:val="22"/>
          <w:lang w:val="it-IT"/>
        </w:rPr>
        <w:t>I dati di sopravvivenza globale dello studio CheckMate -9LA aggiornati a un anno</w:t>
      </w:r>
      <w:r w:rsidR="003C2FD0" w:rsidRPr="000742FE">
        <w:rPr>
          <w:rFonts w:ascii="Trebuchet MS" w:hAnsi="Trebuchet MS" w:cstheme="minorHAnsi"/>
          <w:color w:val="000000" w:themeColor="text1"/>
          <w:sz w:val="22"/>
          <w:szCs w:val="22"/>
          <w:lang w:val="it-IT"/>
        </w:rPr>
        <w:t>,</w:t>
      </w:r>
      <w:r w:rsidR="00304E28" w:rsidRPr="000742FE">
        <w:rPr>
          <w:rFonts w:ascii="Trebuchet MS" w:hAnsi="Trebuchet MS" w:cstheme="minorHAnsi"/>
          <w:color w:val="000000" w:themeColor="text1"/>
          <w:sz w:val="22"/>
          <w:szCs w:val="22"/>
          <w:lang w:val="it-IT"/>
        </w:rPr>
        <w:t xml:space="preserve"> </w:t>
      </w:r>
      <w:r w:rsidR="007B07EA" w:rsidRPr="000742FE">
        <w:rPr>
          <w:rFonts w:ascii="Trebuchet MS" w:hAnsi="Trebuchet MS" w:cstheme="minorHAnsi"/>
          <w:color w:val="000000" w:themeColor="text1"/>
          <w:sz w:val="22"/>
          <w:szCs w:val="22"/>
          <w:lang w:val="it-IT"/>
        </w:rPr>
        <w:t>insieme</w:t>
      </w:r>
      <w:r w:rsidR="00304E28" w:rsidRPr="000742FE">
        <w:rPr>
          <w:rFonts w:ascii="Trebuchet MS" w:hAnsi="Trebuchet MS" w:cstheme="minorHAnsi"/>
          <w:color w:val="000000" w:themeColor="text1"/>
          <w:sz w:val="22"/>
          <w:szCs w:val="22"/>
          <w:lang w:val="it-IT"/>
        </w:rPr>
        <w:t xml:space="preserve"> ai risu</w:t>
      </w:r>
      <w:r w:rsidR="003C2FD0" w:rsidRPr="000742FE">
        <w:rPr>
          <w:rFonts w:ascii="Trebuchet MS" w:hAnsi="Trebuchet MS" w:cstheme="minorHAnsi"/>
          <w:color w:val="000000" w:themeColor="text1"/>
          <w:sz w:val="22"/>
          <w:szCs w:val="22"/>
          <w:lang w:val="it-IT"/>
        </w:rPr>
        <w:t>l</w:t>
      </w:r>
      <w:r w:rsidR="00304E28" w:rsidRPr="000742FE">
        <w:rPr>
          <w:rFonts w:ascii="Trebuchet MS" w:hAnsi="Trebuchet MS" w:cstheme="minorHAnsi"/>
          <w:color w:val="000000" w:themeColor="text1"/>
          <w:sz w:val="22"/>
          <w:szCs w:val="22"/>
          <w:lang w:val="it-IT"/>
        </w:rPr>
        <w:t xml:space="preserve">tati a tre anni dello studio </w:t>
      </w:r>
      <w:r w:rsidRPr="000742FE">
        <w:rPr>
          <w:rFonts w:ascii="Trebuchet MS" w:hAnsi="Trebuchet MS" w:cstheme="minorHAnsi"/>
          <w:color w:val="000000" w:themeColor="text1"/>
          <w:sz w:val="22"/>
          <w:szCs w:val="22"/>
          <w:lang w:val="it-IT"/>
        </w:rPr>
        <w:t xml:space="preserve">CheckMate -227, </w:t>
      </w:r>
      <w:r w:rsidR="00304E28" w:rsidRPr="000742FE">
        <w:rPr>
          <w:rFonts w:ascii="Trebuchet MS" w:hAnsi="Trebuchet MS" w:cstheme="minorHAnsi"/>
          <w:color w:val="000000" w:themeColor="text1"/>
          <w:sz w:val="22"/>
          <w:szCs w:val="22"/>
          <w:lang w:val="it-IT"/>
        </w:rPr>
        <w:t xml:space="preserve">rafforzano ulteriormente </w:t>
      </w:r>
      <w:r w:rsidR="003C2FD0" w:rsidRPr="000742FE">
        <w:rPr>
          <w:rFonts w:ascii="Trebuchet MS" w:hAnsi="Trebuchet MS" w:cstheme="minorHAnsi"/>
          <w:color w:val="000000" w:themeColor="text1"/>
          <w:sz w:val="22"/>
          <w:szCs w:val="22"/>
          <w:lang w:val="it-IT"/>
        </w:rPr>
        <w:t xml:space="preserve">la rilevanza clinica delle </w:t>
      </w:r>
      <w:r w:rsidR="00DD481B" w:rsidRPr="000742FE">
        <w:rPr>
          <w:rFonts w:ascii="Trebuchet MS" w:hAnsi="Trebuchet MS" w:cstheme="minorHAnsi"/>
          <w:color w:val="000000" w:themeColor="text1"/>
          <w:sz w:val="22"/>
          <w:szCs w:val="22"/>
          <w:lang w:val="it-IT"/>
        </w:rPr>
        <w:t xml:space="preserve">associazioni </w:t>
      </w:r>
      <w:r w:rsidR="003C2FD0" w:rsidRPr="000742FE">
        <w:rPr>
          <w:rFonts w:ascii="Trebuchet MS" w:hAnsi="Trebuchet MS" w:cstheme="minorHAnsi"/>
          <w:color w:val="000000" w:themeColor="text1"/>
          <w:sz w:val="22"/>
          <w:szCs w:val="22"/>
          <w:lang w:val="it-IT"/>
        </w:rPr>
        <w:t>ba</w:t>
      </w:r>
      <w:r w:rsidR="009B3FB0" w:rsidRPr="000742FE">
        <w:rPr>
          <w:rFonts w:ascii="Trebuchet MS" w:hAnsi="Trebuchet MS" w:cstheme="minorHAnsi"/>
          <w:color w:val="000000" w:themeColor="text1"/>
          <w:sz w:val="22"/>
          <w:szCs w:val="22"/>
          <w:lang w:val="it-IT"/>
        </w:rPr>
        <w:t>s</w:t>
      </w:r>
      <w:r w:rsidR="003C2FD0" w:rsidRPr="000742FE">
        <w:rPr>
          <w:rFonts w:ascii="Trebuchet MS" w:hAnsi="Trebuchet MS" w:cstheme="minorHAnsi"/>
          <w:color w:val="000000" w:themeColor="text1"/>
          <w:sz w:val="22"/>
          <w:szCs w:val="22"/>
          <w:lang w:val="it-IT"/>
        </w:rPr>
        <w:t xml:space="preserve">ate su nivolumab </w:t>
      </w:r>
      <w:r w:rsidR="00DD481B" w:rsidRPr="000742FE">
        <w:rPr>
          <w:rFonts w:ascii="Trebuchet MS" w:hAnsi="Trebuchet MS" w:cstheme="minorHAnsi"/>
          <w:color w:val="000000" w:themeColor="text1"/>
          <w:sz w:val="22"/>
          <w:szCs w:val="22"/>
          <w:lang w:val="it-IT"/>
        </w:rPr>
        <w:t>più</w:t>
      </w:r>
      <w:r w:rsidR="003C2FD0" w:rsidRPr="000742FE">
        <w:rPr>
          <w:rFonts w:ascii="Trebuchet MS" w:hAnsi="Trebuchet MS" w:cstheme="minorHAnsi"/>
          <w:color w:val="000000" w:themeColor="text1"/>
          <w:sz w:val="22"/>
          <w:szCs w:val="22"/>
          <w:lang w:val="it-IT"/>
        </w:rPr>
        <w:t xml:space="preserve"> ipilimumab</w:t>
      </w:r>
      <w:r w:rsidRPr="000742FE">
        <w:rPr>
          <w:rFonts w:ascii="Trebuchet MS" w:hAnsi="Trebuchet MS" w:cstheme="minorHAnsi"/>
          <w:color w:val="000000" w:themeColor="text1"/>
          <w:sz w:val="22"/>
          <w:szCs w:val="22"/>
          <w:lang w:val="it-IT"/>
        </w:rPr>
        <w:t xml:space="preserve">, </w:t>
      </w:r>
      <w:r w:rsidR="003C2FD0" w:rsidRPr="000742FE">
        <w:rPr>
          <w:rFonts w:ascii="Trebuchet MS" w:hAnsi="Trebuchet MS" w:cstheme="minorHAnsi"/>
          <w:color w:val="000000" w:themeColor="text1"/>
          <w:sz w:val="22"/>
          <w:szCs w:val="22"/>
          <w:lang w:val="it-IT"/>
        </w:rPr>
        <w:t xml:space="preserve">le </w:t>
      </w:r>
      <w:r w:rsidR="003C2FD0" w:rsidRPr="000742FE">
        <w:rPr>
          <w:rFonts w:ascii="Trebuchet MS" w:hAnsi="Trebuchet MS" w:cstheme="minorHAnsi"/>
          <w:color w:val="000000" w:themeColor="text1"/>
          <w:sz w:val="22"/>
          <w:szCs w:val="22"/>
          <w:lang w:val="it-IT"/>
        </w:rPr>
        <w:lastRenderedPageBreak/>
        <w:t>prime opzioni in assoluto di duplice immunoterapia per il trattamento di prima linea del tumore del polmone non a piccole cellule.</w:t>
      </w:r>
      <w:r w:rsidRPr="000742FE">
        <w:rPr>
          <w:rFonts w:ascii="Trebuchet MS" w:hAnsi="Trebuchet MS" w:cstheme="minorHAnsi"/>
          <w:color w:val="000000" w:themeColor="text1"/>
          <w:sz w:val="22"/>
          <w:szCs w:val="22"/>
          <w:lang w:val="it-IT"/>
        </w:rPr>
        <w:t>”</w:t>
      </w:r>
    </w:p>
    <w:p w14:paraId="24F0083C" w14:textId="714B0D80" w:rsidR="00792EEB" w:rsidRPr="000742FE" w:rsidRDefault="003C2FD0" w:rsidP="00B85040">
      <w:pPr>
        <w:spacing w:line="360" w:lineRule="auto"/>
        <w:ind w:firstLine="720"/>
        <w:jc w:val="both"/>
        <w:rPr>
          <w:rFonts w:ascii="Trebuchet MS" w:hAnsi="Trebuchet MS" w:cstheme="minorHAnsi"/>
          <w:color w:val="000000" w:themeColor="text1"/>
          <w:sz w:val="22"/>
          <w:szCs w:val="22"/>
          <w:lang w:val="it-IT"/>
        </w:rPr>
      </w:pPr>
      <w:r w:rsidRPr="000742FE">
        <w:rPr>
          <w:rFonts w:ascii="Trebuchet MS" w:hAnsi="Trebuchet MS" w:cstheme="minorHAnsi"/>
          <w:color w:val="000000" w:themeColor="text1"/>
          <w:sz w:val="22"/>
          <w:szCs w:val="22"/>
          <w:lang w:val="it-IT"/>
        </w:rPr>
        <w:t xml:space="preserve">L’associazione </w:t>
      </w:r>
      <w:r w:rsidR="00DD481B" w:rsidRPr="000742FE">
        <w:rPr>
          <w:rFonts w:ascii="Trebuchet MS" w:hAnsi="Trebuchet MS" w:cstheme="minorHAnsi"/>
          <w:color w:val="000000" w:themeColor="text1"/>
          <w:sz w:val="22"/>
          <w:szCs w:val="22"/>
          <w:lang w:val="it-IT"/>
        </w:rPr>
        <w:t xml:space="preserve">di </w:t>
      </w:r>
      <w:r w:rsidRPr="000742FE">
        <w:rPr>
          <w:rFonts w:ascii="Trebuchet MS" w:hAnsi="Trebuchet MS" w:cstheme="minorHAnsi"/>
          <w:color w:val="000000" w:themeColor="text1"/>
          <w:sz w:val="22"/>
          <w:szCs w:val="22"/>
          <w:lang w:val="it-IT"/>
        </w:rPr>
        <w:t>nivolumab e ipilimumab</w:t>
      </w:r>
      <w:r w:rsidRPr="000742FE">
        <w:rPr>
          <w:rFonts w:ascii="Trebuchet MS" w:hAnsi="Trebuchet MS" w:cstheme="minorHAnsi"/>
          <w:i/>
          <w:color w:val="000000" w:themeColor="text1"/>
          <w:sz w:val="22"/>
          <w:szCs w:val="22"/>
          <w:lang w:val="it-IT"/>
        </w:rPr>
        <w:t xml:space="preserve"> </w:t>
      </w:r>
      <w:r w:rsidRPr="000742FE">
        <w:rPr>
          <w:rFonts w:ascii="Trebuchet MS" w:hAnsi="Trebuchet MS" w:cstheme="minorHAnsi"/>
          <w:color w:val="000000" w:themeColor="text1"/>
          <w:sz w:val="22"/>
          <w:szCs w:val="22"/>
          <w:lang w:val="it-IT"/>
        </w:rPr>
        <w:t>è</w:t>
      </w:r>
      <w:r w:rsidRPr="000742FE">
        <w:rPr>
          <w:rFonts w:ascii="Trebuchet MS" w:hAnsi="Trebuchet MS" w:cstheme="minorHAnsi"/>
          <w:i/>
          <w:color w:val="000000" w:themeColor="text1"/>
          <w:sz w:val="22"/>
          <w:szCs w:val="22"/>
          <w:lang w:val="it-IT"/>
        </w:rPr>
        <w:t xml:space="preserve"> </w:t>
      </w:r>
      <w:r w:rsidRPr="000742FE">
        <w:rPr>
          <w:rFonts w:ascii="Trebuchet MS" w:hAnsi="Trebuchet MS" w:cstheme="minorHAnsi"/>
          <w:color w:val="000000" w:themeColor="text1"/>
          <w:sz w:val="22"/>
          <w:szCs w:val="22"/>
          <w:lang w:val="it-IT"/>
        </w:rPr>
        <w:t>un</w:t>
      </w:r>
      <w:r w:rsidR="009B3FB0" w:rsidRPr="000742FE">
        <w:rPr>
          <w:rFonts w:ascii="Trebuchet MS" w:hAnsi="Trebuchet MS" w:cstheme="minorHAnsi"/>
          <w:color w:val="000000" w:themeColor="text1"/>
          <w:sz w:val="22"/>
          <w:szCs w:val="22"/>
          <w:lang w:val="it-IT"/>
        </w:rPr>
        <w:t>’</w:t>
      </w:r>
      <w:r w:rsidRPr="000742FE">
        <w:rPr>
          <w:rFonts w:ascii="Trebuchet MS" w:hAnsi="Trebuchet MS" w:cstheme="minorHAnsi"/>
          <w:color w:val="000000" w:themeColor="text1"/>
          <w:sz w:val="22"/>
          <w:szCs w:val="22"/>
          <w:lang w:val="it-IT"/>
        </w:rPr>
        <w:t xml:space="preserve">esclusiva combinazione </w:t>
      </w:r>
      <w:r w:rsidR="009642C8" w:rsidRPr="000742FE">
        <w:rPr>
          <w:rFonts w:ascii="Trebuchet MS" w:hAnsi="Trebuchet MS" w:cstheme="minorHAnsi"/>
          <w:color w:val="000000" w:themeColor="text1"/>
          <w:sz w:val="22"/>
          <w:szCs w:val="22"/>
          <w:lang w:val="it-IT"/>
        </w:rPr>
        <w:t>di due inibitori del checkpoint immunitario con un meccanismo di azione potenzialmente sinergico</w:t>
      </w:r>
      <w:r w:rsidR="000E73FF" w:rsidRPr="000742FE">
        <w:rPr>
          <w:rFonts w:ascii="Trebuchet MS" w:hAnsi="Trebuchet MS" w:cstheme="minorHAnsi"/>
          <w:color w:val="000000" w:themeColor="text1"/>
          <w:sz w:val="22"/>
          <w:szCs w:val="22"/>
          <w:lang w:val="it-IT"/>
        </w:rPr>
        <w:t xml:space="preserve">, </w:t>
      </w:r>
      <w:r w:rsidR="009642C8" w:rsidRPr="000742FE">
        <w:rPr>
          <w:rFonts w:ascii="Trebuchet MS" w:hAnsi="Trebuchet MS" w:cstheme="minorHAnsi"/>
          <w:color w:val="000000" w:themeColor="text1"/>
          <w:sz w:val="22"/>
          <w:szCs w:val="22"/>
          <w:lang w:val="it-IT"/>
        </w:rPr>
        <w:t xml:space="preserve">diretto verso </w:t>
      </w:r>
      <w:r w:rsidR="00C0113F" w:rsidRPr="000742FE">
        <w:rPr>
          <w:rFonts w:ascii="Trebuchet MS" w:hAnsi="Trebuchet MS" w:cstheme="minorHAnsi"/>
          <w:color w:val="000000" w:themeColor="text1"/>
          <w:sz w:val="22"/>
          <w:szCs w:val="22"/>
          <w:lang w:val="it-IT"/>
        </w:rPr>
        <w:t xml:space="preserve">due diversi </w:t>
      </w:r>
      <w:r w:rsidR="000E73FF" w:rsidRPr="000742FE">
        <w:rPr>
          <w:rFonts w:ascii="Trebuchet MS" w:hAnsi="Trebuchet MS" w:cstheme="minorHAnsi"/>
          <w:color w:val="000000" w:themeColor="text1"/>
          <w:sz w:val="22"/>
          <w:szCs w:val="22"/>
          <w:lang w:val="it-IT"/>
        </w:rPr>
        <w:t xml:space="preserve">checkpoint (PD-1 </w:t>
      </w:r>
      <w:r w:rsidR="00C0113F" w:rsidRPr="000742FE">
        <w:rPr>
          <w:rFonts w:ascii="Trebuchet MS" w:hAnsi="Trebuchet MS" w:cstheme="minorHAnsi"/>
          <w:color w:val="000000" w:themeColor="text1"/>
          <w:sz w:val="22"/>
          <w:szCs w:val="22"/>
          <w:lang w:val="it-IT"/>
        </w:rPr>
        <w:t xml:space="preserve">e </w:t>
      </w:r>
      <w:r w:rsidR="000E73FF" w:rsidRPr="000742FE">
        <w:rPr>
          <w:rFonts w:ascii="Trebuchet MS" w:hAnsi="Trebuchet MS" w:cstheme="minorHAnsi"/>
          <w:color w:val="000000" w:themeColor="text1"/>
          <w:sz w:val="22"/>
          <w:szCs w:val="22"/>
          <w:lang w:val="it-IT"/>
        </w:rPr>
        <w:t xml:space="preserve">CTLA-4) </w:t>
      </w:r>
      <w:r w:rsidR="00C0113F" w:rsidRPr="000742FE">
        <w:rPr>
          <w:rFonts w:ascii="Trebuchet MS" w:hAnsi="Trebuchet MS" w:cstheme="minorHAnsi"/>
          <w:color w:val="000000" w:themeColor="text1"/>
          <w:sz w:val="22"/>
          <w:szCs w:val="22"/>
          <w:lang w:val="it-IT"/>
        </w:rPr>
        <w:t xml:space="preserve">per </w:t>
      </w:r>
      <w:r w:rsidR="00A66719" w:rsidRPr="000742FE">
        <w:rPr>
          <w:rFonts w:ascii="Trebuchet MS" w:hAnsi="Trebuchet MS" w:cstheme="minorHAnsi"/>
          <w:color w:val="000000" w:themeColor="text1"/>
          <w:sz w:val="22"/>
          <w:szCs w:val="22"/>
          <w:lang w:val="it-IT"/>
        </w:rPr>
        <w:t>aiutare a</w:t>
      </w:r>
      <w:r w:rsidR="009B3FB0" w:rsidRPr="000742FE">
        <w:rPr>
          <w:rFonts w:ascii="Trebuchet MS" w:hAnsi="Trebuchet MS" w:cstheme="minorHAnsi"/>
          <w:color w:val="000000" w:themeColor="text1"/>
          <w:sz w:val="22"/>
          <w:szCs w:val="22"/>
          <w:lang w:val="it-IT"/>
        </w:rPr>
        <w:t xml:space="preserve"> distruggere le cellule tumorali</w:t>
      </w:r>
      <w:r w:rsidR="000E73FF" w:rsidRPr="000742FE">
        <w:rPr>
          <w:rFonts w:ascii="Trebuchet MS" w:hAnsi="Trebuchet MS" w:cstheme="minorHAnsi"/>
          <w:color w:val="000000" w:themeColor="text1"/>
          <w:sz w:val="22"/>
          <w:szCs w:val="22"/>
          <w:lang w:val="it-IT"/>
        </w:rPr>
        <w:t xml:space="preserve">: </w:t>
      </w:r>
      <w:r w:rsidR="009B3FB0" w:rsidRPr="000742FE">
        <w:rPr>
          <w:rFonts w:ascii="Trebuchet MS" w:hAnsi="Trebuchet MS" w:cstheme="minorHAnsi"/>
          <w:color w:val="000000" w:themeColor="text1"/>
          <w:sz w:val="22"/>
          <w:szCs w:val="22"/>
          <w:lang w:val="it-IT"/>
        </w:rPr>
        <w:t>ipilimumab contribuisce all’attivazione e proliferazione delle cellule T</w:t>
      </w:r>
      <w:r w:rsidR="000E73FF" w:rsidRPr="000742FE">
        <w:rPr>
          <w:rFonts w:ascii="Trebuchet MS" w:hAnsi="Trebuchet MS" w:cstheme="minorHAnsi"/>
          <w:color w:val="000000" w:themeColor="text1"/>
          <w:sz w:val="22"/>
          <w:szCs w:val="22"/>
          <w:lang w:val="it-IT"/>
        </w:rPr>
        <w:t xml:space="preserve">, </w:t>
      </w:r>
      <w:r w:rsidR="009B3FB0" w:rsidRPr="000742FE">
        <w:rPr>
          <w:rFonts w:ascii="Trebuchet MS" w:hAnsi="Trebuchet MS" w:cstheme="minorHAnsi"/>
          <w:color w:val="000000" w:themeColor="text1"/>
          <w:sz w:val="22"/>
          <w:szCs w:val="22"/>
          <w:lang w:val="it-IT"/>
        </w:rPr>
        <w:t xml:space="preserve">mentre nivolumab </w:t>
      </w:r>
      <w:r w:rsidR="004E307E" w:rsidRPr="000742FE">
        <w:rPr>
          <w:rFonts w:ascii="Trebuchet MS" w:hAnsi="Trebuchet MS" w:cstheme="minorHAnsi"/>
          <w:color w:val="000000" w:themeColor="text1"/>
          <w:sz w:val="22"/>
          <w:szCs w:val="22"/>
          <w:lang w:val="it-IT"/>
        </w:rPr>
        <w:t>aiuta le cellule T esistenti a individuare il tumore</w:t>
      </w:r>
      <w:r w:rsidR="000E73FF" w:rsidRPr="000742FE">
        <w:rPr>
          <w:rFonts w:ascii="Trebuchet MS" w:hAnsi="Trebuchet MS" w:cstheme="minorHAnsi"/>
          <w:color w:val="000000" w:themeColor="text1"/>
          <w:sz w:val="22"/>
          <w:szCs w:val="22"/>
          <w:lang w:val="it-IT"/>
        </w:rPr>
        <w:t xml:space="preserve">. </w:t>
      </w:r>
      <w:r w:rsidR="004E307E" w:rsidRPr="000742FE">
        <w:rPr>
          <w:rFonts w:ascii="Trebuchet MS" w:hAnsi="Trebuchet MS" w:cstheme="minorHAnsi"/>
          <w:color w:val="000000" w:themeColor="text1"/>
          <w:sz w:val="22"/>
          <w:szCs w:val="22"/>
          <w:lang w:val="it-IT"/>
        </w:rPr>
        <w:t>Alcune cellule T stim</w:t>
      </w:r>
      <w:r w:rsidR="007B5072" w:rsidRPr="000742FE">
        <w:rPr>
          <w:rFonts w:ascii="Trebuchet MS" w:hAnsi="Trebuchet MS" w:cstheme="minorHAnsi"/>
          <w:color w:val="000000" w:themeColor="text1"/>
          <w:sz w:val="22"/>
          <w:szCs w:val="22"/>
          <w:lang w:val="it-IT"/>
        </w:rPr>
        <w:t>o</w:t>
      </w:r>
      <w:r w:rsidR="004E307E" w:rsidRPr="000742FE">
        <w:rPr>
          <w:rFonts w:ascii="Trebuchet MS" w:hAnsi="Trebuchet MS" w:cstheme="minorHAnsi"/>
          <w:color w:val="000000" w:themeColor="text1"/>
          <w:sz w:val="22"/>
          <w:szCs w:val="22"/>
          <w:lang w:val="it-IT"/>
        </w:rPr>
        <w:t>late da ipilimumab possono diventare cellule T della memoria</w:t>
      </w:r>
      <w:r w:rsidR="000E73FF" w:rsidRPr="000742FE">
        <w:rPr>
          <w:rFonts w:ascii="Trebuchet MS" w:hAnsi="Trebuchet MS" w:cstheme="minorHAnsi"/>
          <w:color w:val="000000" w:themeColor="text1"/>
          <w:sz w:val="22"/>
          <w:szCs w:val="22"/>
          <w:lang w:val="it-IT"/>
        </w:rPr>
        <w:t xml:space="preserve">, </w:t>
      </w:r>
      <w:r w:rsidR="004E307E" w:rsidRPr="000742FE">
        <w:rPr>
          <w:rFonts w:ascii="Trebuchet MS" w:hAnsi="Trebuchet MS" w:cstheme="minorHAnsi"/>
          <w:color w:val="000000" w:themeColor="text1"/>
          <w:sz w:val="22"/>
          <w:szCs w:val="22"/>
          <w:lang w:val="it-IT"/>
        </w:rPr>
        <w:t>favorendo una risposta immunitaria a lungo termine</w:t>
      </w:r>
      <w:r w:rsidR="000E73FF" w:rsidRPr="000742FE">
        <w:rPr>
          <w:rFonts w:ascii="Trebuchet MS" w:hAnsi="Trebuchet MS" w:cstheme="minorHAnsi"/>
          <w:color w:val="000000" w:themeColor="text1"/>
          <w:sz w:val="22"/>
          <w:szCs w:val="22"/>
          <w:lang w:val="it-IT"/>
        </w:rPr>
        <w:t>.</w:t>
      </w:r>
      <w:bookmarkStart w:id="2" w:name="_Hlk40083703"/>
      <w:r w:rsidR="004E307E" w:rsidRPr="000742FE">
        <w:rPr>
          <w:rFonts w:ascii="Trebuchet MS" w:hAnsi="Trebuchet MS" w:cstheme="minorHAnsi"/>
          <w:color w:val="000000" w:themeColor="text1"/>
          <w:sz w:val="22"/>
          <w:szCs w:val="22"/>
          <w:lang w:val="it-IT"/>
        </w:rPr>
        <w:t xml:space="preserve"> L’aggiunta di </w:t>
      </w:r>
      <w:r w:rsidR="003A2C58" w:rsidRPr="000742FE">
        <w:rPr>
          <w:rFonts w:ascii="Trebuchet MS" w:hAnsi="Trebuchet MS" w:cstheme="minorHAnsi"/>
          <w:color w:val="000000" w:themeColor="text1"/>
          <w:sz w:val="22"/>
          <w:szCs w:val="22"/>
          <w:lang w:val="it-IT"/>
        </w:rPr>
        <w:t>cicli limitati</w:t>
      </w:r>
      <w:r w:rsidR="004E307E" w:rsidRPr="000742FE">
        <w:rPr>
          <w:rFonts w:ascii="Trebuchet MS" w:hAnsi="Trebuchet MS" w:cstheme="minorHAnsi"/>
          <w:color w:val="000000" w:themeColor="text1"/>
          <w:sz w:val="22"/>
          <w:szCs w:val="22"/>
          <w:lang w:val="it-IT"/>
        </w:rPr>
        <w:t xml:space="preserve"> di chemioterapia a</w:t>
      </w:r>
      <w:r w:rsidR="007B07EA" w:rsidRPr="000742FE">
        <w:rPr>
          <w:rFonts w:ascii="Trebuchet MS" w:hAnsi="Trebuchet MS" w:cstheme="minorHAnsi"/>
          <w:color w:val="000000" w:themeColor="text1"/>
          <w:sz w:val="22"/>
          <w:szCs w:val="22"/>
          <w:lang w:val="it-IT"/>
        </w:rPr>
        <w:t xml:space="preserve">lla </w:t>
      </w:r>
      <w:r w:rsidR="003A2C58" w:rsidRPr="000742FE">
        <w:rPr>
          <w:rFonts w:ascii="Trebuchet MS" w:hAnsi="Trebuchet MS" w:cstheme="minorHAnsi"/>
          <w:color w:val="000000" w:themeColor="text1"/>
          <w:sz w:val="22"/>
          <w:szCs w:val="22"/>
          <w:lang w:val="it-IT"/>
        </w:rPr>
        <w:t xml:space="preserve">associazione </w:t>
      </w:r>
      <w:r w:rsidR="007B07EA" w:rsidRPr="000742FE">
        <w:rPr>
          <w:rFonts w:ascii="Trebuchet MS" w:hAnsi="Trebuchet MS" w:cstheme="minorHAnsi"/>
          <w:color w:val="000000" w:themeColor="text1"/>
          <w:sz w:val="22"/>
          <w:szCs w:val="22"/>
          <w:lang w:val="it-IT"/>
        </w:rPr>
        <w:t>di</w:t>
      </w:r>
      <w:r w:rsidR="004E307E" w:rsidRPr="000742FE">
        <w:rPr>
          <w:rFonts w:ascii="Trebuchet MS" w:hAnsi="Trebuchet MS" w:cstheme="minorHAnsi"/>
          <w:color w:val="000000" w:themeColor="text1"/>
          <w:sz w:val="22"/>
          <w:szCs w:val="22"/>
          <w:lang w:val="it-IT"/>
        </w:rPr>
        <w:t xml:space="preserve"> nivolumab e ipilimimab può aiutare i pazienti a otten</w:t>
      </w:r>
      <w:r w:rsidR="007B5072" w:rsidRPr="000742FE">
        <w:rPr>
          <w:rFonts w:ascii="Trebuchet MS" w:hAnsi="Trebuchet MS" w:cstheme="minorHAnsi"/>
          <w:color w:val="000000" w:themeColor="text1"/>
          <w:sz w:val="22"/>
          <w:szCs w:val="22"/>
          <w:lang w:val="it-IT"/>
        </w:rPr>
        <w:t>e</w:t>
      </w:r>
      <w:r w:rsidR="004E307E" w:rsidRPr="000742FE">
        <w:rPr>
          <w:rFonts w:ascii="Trebuchet MS" w:hAnsi="Trebuchet MS" w:cstheme="minorHAnsi"/>
          <w:color w:val="000000" w:themeColor="text1"/>
          <w:sz w:val="22"/>
          <w:szCs w:val="22"/>
          <w:lang w:val="it-IT"/>
        </w:rPr>
        <w:t>re un controllo precoce della malattia.</w:t>
      </w:r>
      <w:bookmarkEnd w:id="2"/>
    </w:p>
    <w:p w14:paraId="2778A15E" w14:textId="77777777" w:rsidR="002C1C51" w:rsidRPr="000742FE" w:rsidRDefault="002C1C51" w:rsidP="00B85040">
      <w:pPr>
        <w:spacing w:line="360" w:lineRule="auto"/>
        <w:contextualSpacing/>
        <w:jc w:val="both"/>
        <w:rPr>
          <w:rFonts w:ascii="Trebuchet MS" w:hAnsi="Trebuchet MS" w:cstheme="minorHAnsi"/>
          <w:color w:val="000000" w:themeColor="text1"/>
          <w:sz w:val="22"/>
          <w:szCs w:val="22"/>
          <w:lang w:val="it-IT"/>
        </w:rPr>
      </w:pPr>
    </w:p>
    <w:p w14:paraId="59D35622" w14:textId="77777777" w:rsidR="002C1C51" w:rsidRPr="000742FE" w:rsidRDefault="004E307E" w:rsidP="00B85040">
      <w:pPr>
        <w:spacing w:line="360" w:lineRule="auto"/>
        <w:contextualSpacing/>
        <w:jc w:val="both"/>
        <w:rPr>
          <w:rFonts w:ascii="Trebuchet MS" w:hAnsi="Trebuchet MS" w:cstheme="minorHAnsi"/>
          <w:color w:val="000000" w:themeColor="text1"/>
          <w:sz w:val="22"/>
          <w:szCs w:val="22"/>
          <w:lang w:val="it-IT"/>
        </w:rPr>
      </w:pPr>
      <w:r w:rsidRPr="000742FE">
        <w:rPr>
          <w:rFonts w:ascii="Trebuchet MS" w:hAnsi="Trebuchet MS" w:cstheme="minorHAnsi"/>
          <w:b/>
          <w:bCs/>
          <w:color w:val="000000" w:themeColor="text1"/>
          <w:sz w:val="22"/>
          <w:szCs w:val="22"/>
          <w:u w:val="single"/>
          <w:lang w:val="it-IT"/>
        </w:rPr>
        <w:t xml:space="preserve">Lo studio </w:t>
      </w:r>
      <w:r w:rsidR="002C1C51" w:rsidRPr="000742FE">
        <w:rPr>
          <w:rFonts w:ascii="Trebuchet MS" w:hAnsi="Trebuchet MS" w:cstheme="minorHAnsi"/>
          <w:b/>
          <w:bCs/>
          <w:color w:val="000000" w:themeColor="text1"/>
          <w:sz w:val="22"/>
          <w:szCs w:val="22"/>
          <w:u w:val="single"/>
          <w:lang w:val="it-IT"/>
        </w:rPr>
        <w:t>CheckMate -9LA</w:t>
      </w:r>
    </w:p>
    <w:p w14:paraId="1B9C3F07" w14:textId="04D31AEF" w:rsidR="002C1C51" w:rsidRPr="000742FE" w:rsidRDefault="002C1C51" w:rsidP="00B85040">
      <w:pPr>
        <w:spacing w:line="360" w:lineRule="auto"/>
        <w:ind w:firstLine="720"/>
        <w:contextualSpacing/>
        <w:jc w:val="both"/>
        <w:rPr>
          <w:rFonts w:ascii="Trebuchet MS" w:hAnsi="Trebuchet MS" w:cstheme="minorHAnsi"/>
          <w:color w:val="000000" w:themeColor="text1"/>
          <w:sz w:val="22"/>
          <w:szCs w:val="22"/>
          <w:lang w:val="it-IT"/>
        </w:rPr>
      </w:pPr>
      <w:r w:rsidRPr="000742FE">
        <w:rPr>
          <w:rFonts w:ascii="Trebuchet MS" w:hAnsi="Trebuchet MS" w:cstheme="minorHAnsi"/>
          <w:color w:val="000000" w:themeColor="text1"/>
          <w:sz w:val="22"/>
          <w:szCs w:val="22"/>
          <w:lang w:val="it-IT"/>
        </w:rPr>
        <w:t xml:space="preserve">CheckMate -9LA </w:t>
      </w:r>
      <w:r w:rsidR="004E307E" w:rsidRPr="000742FE">
        <w:rPr>
          <w:rFonts w:ascii="Trebuchet MS" w:hAnsi="Trebuchet MS" w:cstheme="minorHAnsi"/>
          <w:color w:val="000000" w:themeColor="text1"/>
          <w:sz w:val="22"/>
          <w:szCs w:val="22"/>
          <w:lang w:val="it-IT"/>
        </w:rPr>
        <w:t xml:space="preserve">è uno studio multicentrico randomizzato di fase 3, in aperto, per la valutazione di nivolumab </w:t>
      </w:r>
      <w:r w:rsidRPr="000742FE">
        <w:rPr>
          <w:rFonts w:ascii="Trebuchet MS" w:hAnsi="Trebuchet MS" w:cstheme="minorHAnsi"/>
          <w:color w:val="000000" w:themeColor="text1"/>
          <w:sz w:val="22"/>
          <w:szCs w:val="22"/>
          <w:lang w:val="it-IT"/>
        </w:rPr>
        <w:t xml:space="preserve">(360 mg </w:t>
      </w:r>
      <w:r w:rsidR="00CF71C8" w:rsidRPr="000742FE">
        <w:rPr>
          <w:rFonts w:ascii="Trebuchet MS" w:hAnsi="Trebuchet MS" w:cstheme="minorHAnsi"/>
          <w:color w:val="000000" w:themeColor="text1"/>
          <w:sz w:val="22"/>
          <w:szCs w:val="22"/>
          <w:lang w:val="it-IT"/>
        </w:rPr>
        <w:t xml:space="preserve">ogni 3 settimane) </w:t>
      </w:r>
      <w:r w:rsidR="00E654A4" w:rsidRPr="000742FE">
        <w:rPr>
          <w:rFonts w:ascii="Trebuchet MS" w:hAnsi="Trebuchet MS" w:cstheme="minorHAnsi"/>
          <w:color w:val="000000" w:themeColor="text1"/>
          <w:sz w:val="22"/>
          <w:szCs w:val="22"/>
          <w:lang w:val="it-IT"/>
        </w:rPr>
        <w:t xml:space="preserve">più </w:t>
      </w:r>
      <w:r w:rsidR="00CF71C8" w:rsidRPr="000742FE">
        <w:rPr>
          <w:rFonts w:ascii="Trebuchet MS" w:hAnsi="Trebuchet MS" w:cstheme="minorHAnsi"/>
          <w:color w:val="000000" w:themeColor="text1"/>
          <w:sz w:val="22"/>
          <w:szCs w:val="22"/>
          <w:lang w:val="it-IT"/>
        </w:rPr>
        <w:t>ipilimumab</w:t>
      </w:r>
      <w:r w:rsidRPr="000742FE">
        <w:rPr>
          <w:rFonts w:ascii="Trebuchet MS" w:hAnsi="Trebuchet MS" w:cstheme="minorHAnsi"/>
          <w:i/>
          <w:iCs/>
          <w:color w:val="000000" w:themeColor="text1"/>
          <w:sz w:val="22"/>
          <w:szCs w:val="22"/>
          <w:lang w:val="it-IT"/>
        </w:rPr>
        <w:t> </w:t>
      </w:r>
      <w:r w:rsidRPr="000742FE">
        <w:rPr>
          <w:rFonts w:ascii="Trebuchet MS" w:hAnsi="Trebuchet MS" w:cstheme="minorHAnsi"/>
          <w:color w:val="000000" w:themeColor="text1"/>
          <w:sz w:val="22"/>
          <w:szCs w:val="22"/>
          <w:lang w:val="it-IT"/>
        </w:rPr>
        <w:t xml:space="preserve">(1 mg/kg </w:t>
      </w:r>
      <w:r w:rsidR="00CF71C8" w:rsidRPr="000742FE">
        <w:rPr>
          <w:rFonts w:ascii="Trebuchet MS" w:hAnsi="Trebuchet MS" w:cstheme="minorHAnsi"/>
          <w:color w:val="000000" w:themeColor="text1"/>
          <w:sz w:val="22"/>
          <w:szCs w:val="22"/>
          <w:lang w:val="it-IT"/>
        </w:rPr>
        <w:t>ogni 6 settimane</w:t>
      </w:r>
      <w:r w:rsidRPr="000742FE">
        <w:rPr>
          <w:rFonts w:ascii="Trebuchet MS" w:hAnsi="Trebuchet MS" w:cstheme="minorHAnsi"/>
          <w:color w:val="000000" w:themeColor="text1"/>
          <w:sz w:val="22"/>
          <w:szCs w:val="22"/>
          <w:lang w:val="it-IT"/>
        </w:rPr>
        <w:t xml:space="preserve">) </w:t>
      </w:r>
      <w:r w:rsidR="00CF71C8" w:rsidRPr="000742FE">
        <w:rPr>
          <w:rFonts w:ascii="Trebuchet MS" w:hAnsi="Trebuchet MS" w:cstheme="minorHAnsi"/>
          <w:color w:val="000000" w:themeColor="text1"/>
          <w:sz w:val="22"/>
          <w:szCs w:val="22"/>
          <w:lang w:val="it-IT"/>
        </w:rPr>
        <w:t>associat</w:t>
      </w:r>
      <w:r w:rsidR="00677EA6" w:rsidRPr="000742FE">
        <w:rPr>
          <w:rFonts w:ascii="Trebuchet MS" w:hAnsi="Trebuchet MS" w:cstheme="minorHAnsi"/>
          <w:color w:val="000000" w:themeColor="text1"/>
          <w:sz w:val="22"/>
          <w:szCs w:val="22"/>
          <w:lang w:val="it-IT"/>
        </w:rPr>
        <w:t>i</w:t>
      </w:r>
      <w:r w:rsidR="00CF71C8" w:rsidRPr="000742FE">
        <w:rPr>
          <w:rFonts w:ascii="Trebuchet MS" w:hAnsi="Trebuchet MS" w:cstheme="minorHAnsi"/>
          <w:color w:val="000000" w:themeColor="text1"/>
          <w:sz w:val="22"/>
          <w:szCs w:val="22"/>
          <w:lang w:val="it-IT"/>
        </w:rPr>
        <w:t xml:space="preserve"> a chemioterapia </w:t>
      </w:r>
      <w:r w:rsidRPr="000742FE">
        <w:rPr>
          <w:rFonts w:ascii="Trebuchet MS" w:hAnsi="Trebuchet MS" w:cstheme="minorHAnsi"/>
          <w:color w:val="000000" w:themeColor="text1"/>
          <w:sz w:val="22"/>
          <w:szCs w:val="22"/>
          <w:lang w:val="it-IT"/>
        </w:rPr>
        <w:t>(</w:t>
      </w:r>
      <w:r w:rsidR="00CF71C8" w:rsidRPr="000742FE">
        <w:rPr>
          <w:rFonts w:ascii="Trebuchet MS" w:hAnsi="Trebuchet MS" w:cstheme="minorHAnsi"/>
          <w:color w:val="000000" w:themeColor="text1"/>
          <w:sz w:val="22"/>
          <w:szCs w:val="22"/>
          <w:lang w:val="it-IT"/>
        </w:rPr>
        <w:t>due cicli</w:t>
      </w:r>
      <w:r w:rsidRPr="000742FE">
        <w:rPr>
          <w:rFonts w:ascii="Trebuchet MS" w:hAnsi="Trebuchet MS" w:cstheme="minorHAnsi"/>
          <w:color w:val="000000" w:themeColor="text1"/>
          <w:sz w:val="22"/>
          <w:szCs w:val="22"/>
          <w:lang w:val="it-IT"/>
        </w:rPr>
        <w:t xml:space="preserve">) </w:t>
      </w:r>
      <w:r w:rsidR="00E654A4" w:rsidRPr="000742FE">
        <w:rPr>
          <w:rFonts w:ascii="Trebuchet MS" w:hAnsi="Trebuchet MS" w:cstheme="minorHAnsi"/>
          <w:color w:val="000000" w:themeColor="text1"/>
          <w:sz w:val="22"/>
          <w:szCs w:val="22"/>
          <w:lang w:val="it-IT"/>
        </w:rPr>
        <w:t>confrontati con la</w:t>
      </w:r>
      <w:r w:rsidR="00CF71C8" w:rsidRPr="000742FE">
        <w:rPr>
          <w:rFonts w:ascii="Trebuchet MS" w:hAnsi="Trebuchet MS" w:cstheme="minorHAnsi"/>
          <w:color w:val="000000" w:themeColor="text1"/>
          <w:sz w:val="22"/>
          <w:szCs w:val="22"/>
          <w:lang w:val="it-IT"/>
        </w:rPr>
        <w:t xml:space="preserve"> sola chemioterapia </w:t>
      </w:r>
      <w:r w:rsidRPr="000742FE">
        <w:rPr>
          <w:rFonts w:ascii="Trebuchet MS" w:hAnsi="Trebuchet MS" w:cstheme="minorHAnsi"/>
          <w:color w:val="000000" w:themeColor="text1"/>
          <w:sz w:val="22"/>
          <w:szCs w:val="22"/>
          <w:lang w:val="it-IT"/>
        </w:rPr>
        <w:t>(</w:t>
      </w:r>
      <w:r w:rsidR="00CF71C8" w:rsidRPr="000742FE">
        <w:rPr>
          <w:rFonts w:ascii="Trebuchet MS" w:hAnsi="Trebuchet MS" w:cstheme="minorHAnsi"/>
          <w:color w:val="000000" w:themeColor="text1"/>
          <w:sz w:val="22"/>
          <w:szCs w:val="22"/>
          <w:lang w:val="it-IT"/>
        </w:rPr>
        <w:t>fino a 4 cicli seguiti da terapia di mantenimento opzionale con</w:t>
      </w:r>
      <w:r w:rsidRPr="000742FE">
        <w:rPr>
          <w:rFonts w:ascii="Trebuchet MS" w:hAnsi="Trebuchet MS" w:cstheme="minorHAnsi"/>
          <w:color w:val="000000" w:themeColor="text1"/>
          <w:sz w:val="22"/>
          <w:szCs w:val="22"/>
          <w:lang w:val="it-IT"/>
        </w:rPr>
        <w:t xml:space="preserve"> pemetrexed </w:t>
      </w:r>
      <w:r w:rsidR="00CF71C8" w:rsidRPr="000742FE">
        <w:rPr>
          <w:rFonts w:ascii="Trebuchet MS" w:hAnsi="Trebuchet MS" w:cstheme="minorHAnsi"/>
          <w:color w:val="000000" w:themeColor="text1"/>
          <w:sz w:val="22"/>
          <w:szCs w:val="22"/>
          <w:lang w:val="it-IT"/>
        </w:rPr>
        <w:t>dove possibile</w:t>
      </w:r>
      <w:r w:rsidRPr="000742FE">
        <w:rPr>
          <w:rFonts w:ascii="Trebuchet MS" w:hAnsi="Trebuchet MS" w:cstheme="minorHAnsi"/>
          <w:color w:val="000000" w:themeColor="text1"/>
          <w:sz w:val="22"/>
          <w:szCs w:val="22"/>
          <w:lang w:val="it-IT"/>
        </w:rPr>
        <w:t xml:space="preserve">) </w:t>
      </w:r>
      <w:r w:rsidR="00CF71C8" w:rsidRPr="000742FE">
        <w:rPr>
          <w:rFonts w:ascii="Trebuchet MS" w:hAnsi="Trebuchet MS" w:cstheme="minorHAnsi"/>
          <w:color w:val="000000" w:themeColor="text1"/>
          <w:sz w:val="22"/>
          <w:szCs w:val="22"/>
          <w:lang w:val="it-IT"/>
        </w:rPr>
        <w:t xml:space="preserve">come trattamento di prima linea </w:t>
      </w:r>
      <w:r w:rsidR="00E654A4" w:rsidRPr="000742FE">
        <w:rPr>
          <w:rFonts w:ascii="Trebuchet MS" w:hAnsi="Trebuchet MS" w:cstheme="minorHAnsi"/>
          <w:color w:val="000000" w:themeColor="text1"/>
          <w:sz w:val="22"/>
          <w:szCs w:val="22"/>
          <w:lang w:val="it-IT"/>
        </w:rPr>
        <w:t xml:space="preserve">nei </w:t>
      </w:r>
      <w:r w:rsidR="00CF71C8" w:rsidRPr="000742FE">
        <w:rPr>
          <w:rFonts w:ascii="Trebuchet MS" w:hAnsi="Trebuchet MS" w:cstheme="minorHAnsi"/>
          <w:color w:val="000000" w:themeColor="text1"/>
          <w:sz w:val="22"/>
          <w:szCs w:val="22"/>
          <w:lang w:val="it-IT"/>
        </w:rPr>
        <w:t xml:space="preserve">pazienti con tumore del polmone non a piccole cellule metastatico </w:t>
      </w:r>
      <w:r w:rsidRPr="000742FE">
        <w:rPr>
          <w:rFonts w:ascii="Trebuchet MS" w:hAnsi="Trebuchet MS" w:cstheme="minorHAnsi"/>
          <w:color w:val="000000" w:themeColor="text1"/>
          <w:sz w:val="22"/>
          <w:szCs w:val="22"/>
          <w:lang w:val="it-IT"/>
        </w:rPr>
        <w:t>(NSCLC)</w:t>
      </w:r>
      <w:r w:rsidR="007B07EA" w:rsidRPr="000742FE">
        <w:rPr>
          <w:rFonts w:ascii="Trebuchet MS" w:hAnsi="Trebuchet MS" w:cstheme="minorHAnsi"/>
          <w:color w:val="000000" w:themeColor="text1"/>
          <w:sz w:val="22"/>
          <w:szCs w:val="22"/>
          <w:lang w:val="it-IT"/>
        </w:rPr>
        <w:t>,</w:t>
      </w:r>
      <w:r w:rsidRPr="000742FE">
        <w:rPr>
          <w:rFonts w:ascii="Trebuchet MS" w:hAnsi="Trebuchet MS" w:cstheme="minorHAnsi"/>
          <w:color w:val="000000" w:themeColor="text1"/>
          <w:sz w:val="22"/>
          <w:szCs w:val="22"/>
          <w:lang w:val="it-IT"/>
        </w:rPr>
        <w:t xml:space="preserve"> </w:t>
      </w:r>
      <w:r w:rsidR="00CF71C8" w:rsidRPr="000742FE">
        <w:rPr>
          <w:rFonts w:ascii="Trebuchet MS" w:hAnsi="Trebuchet MS" w:cstheme="minorHAnsi"/>
          <w:color w:val="000000" w:themeColor="text1"/>
          <w:sz w:val="22"/>
          <w:szCs w:val="22"/>
          <w:lang w:val="it-IT"/>
        </w:rPr>
        <w:t>indipendentemente dall’espressione di</w:t>
      </w:r>
      <w:r w:rsidRPr="000742FE">
        <w:rPr>
          <w:rFonts w:ascii="Trebuchet MS" w:hAnsi="Trebuchet MS" w:cstheme="minorHAnsi"/>
          <w:color w:val="000000" w:themeColor="text1"/>
          <w:sz w:val="22"/>
          <w:szCs w:val="22"/>
          <w:lang w:val="it-IT"/>
        </w:rPr>
        <w:t xml:space="preserve"> PD-L1 </w:t>
      </w:r>
      <w:r w:rsidR="00CF71C8" w:rsidRPr="000742FE">
        <w:rPr>
          <w:rFonts w:ascii="Trebuchet MS" w:hAnsi="Trebuchet MS" w:cstheme="minorHAnsi"/>
          <w:color w:val="000000" w:themeColor="text1"/>
          <w:sz w:val="22"/>
          <w:szCs w:val="22"/>
          <w:lang w:val="it-IT"/>
        </w:rPr>
        <w:t>e dall’istologia</w:t>
      </w:r>
      <w:r w:rsidRPr="000742FE">
        <w:rPr>
          <w:rFonts w:ascii="Trebuchet MS" w:hAnsi="Trebuchet MS" w:cstheme="minorHAnsi"/>
          <w:color w:val="000000" w:themeColor="text1"/>
          <w:sz w:val="22"/>
          <w:szCs w:val="22"/>
          <w:lang w:val="it-IT"/>
        </w:rPr>
        <w:t xml:space="preserve">. </w:t>
      </w:r>
      <w:r w:rsidR="00CF71C8" w:rsidRPr="000742FE">
        <w:rPr>
          <w:rFonts w:ascii="Trebuchet MS" w:hAnsi="Trebuchet MS" w:cstheme="minorHAnsi"/>
          <w:color w:val="000000" w:themeColor="text1"/>
          <w:sz w:val="22"/>
          <w:szCs w:val="22"/>
          <w:lang w:val="it-IT"/>
        </w:rPr>
        <w:t>I pazienti nel braccio sperimentale sono stati trattati con immunoterapia fino a due anni oppure fino a progression</w:t>
      </w:r>
      <w:r w:rsidR="00677EA6" w:rsidRPr="000742FE">
        <w:rPr>
          <w:rFonts w:ascii="Trebuchet MS" w:hAnsi="Trebuchet MS" w:cstheme="minorHAnsi"/>
          <w:color w:val="000000" w:themeColor="text1"/>
          <w:sz w:val="22"/>
          <w:szCs w:val="22"/>
          <w:lang w:val="it-IT"/>
        </w:rPr>
        <w:t>e</w:t>
      </w:r>
      <w:r w:rsidR="00CF71C8" w:rsidRPr="000742FE">
        <w:rPr>
          <w:rFonts w:ascii="Trebuchet MS" w:hAnsi="Trebuchet MS" w:cstheme="minorHAnsi"/>
          <w:color w:val="000000" w:themeColor="text1"/>
          <w:sz w:val="22"/>
          <w:szCs w:val="22"/>
          <w:lang w:val="it-IT"/>
        </w:rPr>
        <w:t xml:space="preserve"> di malattia o tossicità </w:t>
      </w:r>
      <w:r w:rsidR="00E654A4" w:rsidRPr="000742FE">
        <w:rPr>
          <w:rFonts w:ascii="Trebuchet MS" w:hAnsi="Trebuchet MS" w:cstheme="minorHAnsi"/>
          <w:color w:val="000000" w:themeColor="text1"/>
          <w:sz w:val="22"/>
          <w:szCs w:val="22"/>
          <w:lang w:val="it-IT"/>
        </w:rPr>
        <w:t>in</w:t>
      </w:r>
      <w:r w:rsidR="00CF71C8" w:rsidRPr="000742FE">
        <w:rPr>
          <w:rFonts w:ascii="Trebuchet MS" w:hAnsi="Trebuchet MS" w:cstheme="minorHAnsi"/>
          <w:color w:val="000000" w:themeColor="text1"/>
          <w:sz w:val="22"/>
          <w:szCs w:val="22"/>
          <w:lang w:val="it-IT"/>
        </w:rPr>
        <w:t>accettabile</w:t>
      </w:r>
      <w:r w:rsidRPr="000742FE">
        <w:rPr>
          <w:rFonts w:ascii="Trebuchet MS" w:hAnsi="Trebuchet MS" w:cstheme="minorHAnsi"/>
          <w:color w:val="000000" w:themeColor="text1"/>
          <w:sz w:val="22"/>
          <w:szCs w:val="22"/>
          <w:lang w:val="it-IT"/>
        </w:rPr>
        <w:t xml:space="preserve">. </w:t>
      </w:r>
      <w:r w:rsidR="00CF71C8" w:rsidRPr="000742FE">
        <w:rPr>
          <w:rFonts w:ascii="Trebuchet MS" w:hAnsi="Trebuchet MS" w:cstheme="minorHAnsi"/>
          <w:color w:val="000000" w:themeColor="text1"/>
          <w:sz w:val="22"/>
          <w:szCs w:val="22"/>
          <w:lang w:val="it-IT"/>
        </w:rPr>
        <w:t xml:space="preserve">I pazienti nel braccio di controllo hanno ricevuto fino a 4 cicli di chemioterapia e terapia di mantenimento opzionale con </w:t>
      </w:r>
      <w:r w:rsidRPr="000742FE">
        <w:rPr>
          <w:rFonts w:ascii="Trebuchet MS" w:hAnsi="Trebuchet MS" w:cstheme="minorHAnsi"/>
          <w:color w:val="000000" w:themeColor="text1"/>
          <w:sz w:val="22"/>
          <w:szCs w:val="22"/>
          <w:lang w:val="it-IT"/>
        </w:rPr>
        <w:t>pemetrexed (</w:t>
      </w:r>
      <w:r w:rsidR="00CF71C8" w:rsidRPr="000742FE">
        <w:rPr>
          <w:rFonts w:ascii="Trebuchet MS" w:hAnsi="Trebuchet MS" w:cstheme="minorHAnsi"/>
          <w:color w:val="000000" w:themeColor="text1"/>
          <w:sz w:val="22"/>
          <w:szCs w:val="22"/>
          <w:lang w:val="it-IT"/>
        </w:rPr>
        <w:t>se possibile</w:t>
      </w:r>
      <w:r w:rsidRPr="000742FE">
        <w:rPr>
          <w:rFonts w:ascii="Trebuchet MS" w:hAnsi="Trebuchet MS" w:cstheme="minorHAnsi"/>
          <w:color w:val="000000" w:themeColor="text1"/>
          <w:sz w:val="22"/>
          <w:szCs w:val="22"/>
          <w:lang w:val="it-IT"/>
        </w:rPr>
        <w:t xml:space="preserve">) </w:t>
      </w:r>
      <w:r w:rsidR="00082AC4" w:rsidRPr="000742FE">
        <w:rPr>
          <w:rFonts w:ascii="Trebuchet MS" w:hAnsi="Trebuchet MS" w:cstheme="minorHAnsi"/>
          <w:color w:val="000000" w:themeColor="text1"/>
          <w:sz w:val="22"/>
          <w:szCs w:val="22"/>
          <w:lang w:val="it-IT"/>
        </w:rPr>
        <w:t>fino a progression</w:t>
      </w:r>
      <w:r w:rsidR="00677EA6" w:rsidRPr="000742FE">
        <w:rPr>
          <w:rFonts w:ascii="Trebuchet MS" w:hAnsi="Trebuchet MS" w:cstheme="minorHAnsi"/>
          <w:color w:val="000000" w:themeColor="text1"/>
          <w:sz w:val="22"/>
          <w:szCs w:val="22"/>
          <w:lang w:val="it-IT"/>
        </w:rPr>
        <w:t>e</w:t>
      </w:r>
      <w:r w:rsidR="00082AC4" w:rsidRPr="000742FE">
        <w:rPr>
          <w:rFonts w:ascii="Trebuchet MS" w:hAnsi="Trebuchet MS" w:cstheme="minorHAnsi"/>
          <w:color w:val="000000" w:themeColor="text1"/>
          <w:sz w:val="22"/>
          <w:szCs w:val="22"/>
          <w:lang w:val="it-IT"/>
        </w:rPr>
        <w:t xml:space="preserve"> di malattia o tossicità inaccettabile</w:t>
      </w:r>
      <w:r w:rsidRPr="000742FE">
        <w:rPr>
          <w:rFonts w:ascii="Trebuchet MS" w:hAnsi="Trebuchet MS" w:cstheme="minorHAnsi"/>
          <w:color w:val="000000" w:themeColor="text1"/>
          <w:sz w:val="22"/>
          <w:szCs w:val="22"/>
          <w:lang w:val="it-IT"/>
        </w:rPr>
        <w:t xml:space="preserve">. </w:t>
      </w:r>
      <w:r w:rsidR="00E654A4" w:rsidRPr="000742FE">
        <w:rPr>
          <w:rFonts w:ascii="Trebuchet MS" w:hAnsi="Trebuchet MS" w:cstheme="minorHAnsi"/>
          <w:color w:val="000000" w:themeColor="text1"/>
          <w:sz w:val="22"/>
          <w:szCs w:val="22"/>
          <w:lang w:val="it-IT"/>
        </w:rPr>
        <w:t xml:space="preserve">L’endpoint </w:t>
      </w:r>
      <w:r w:rsidR="00082AC4" w:rsidRPr="000742FE">
        <w:rPr>
          <w:rFonts w:ascii="Trebuchet MS" w:hAnsi="Trebuchet MS" w:cstheme="minorHAnsi"/>
          <w:color w:val="000000" w:themeColor="text1"/>
          <w:sz w:val="22"/>
          <w:szCs w:val="22"/>
          <w:lang w:val="it-IT"/>
        </w:rPr>
        <w:t xml:space="preserve">primario dello studio era la sopravvivenza globale </w:t>
      </w:r>
      <w:r w:rsidRPr="000742FE">
        <w:rPr>
          <w:rFonts w:ascii="Trebuchet MS" w:hAnsi="Trebuchet MS" w:cstheme="minorHAnsi"/>
          <w:color w:val="000000" w:themeColor="text1"/>
          <w:sz w:val="22"/>
          <w:szCs w:val="22"/>
          <w:lang w:val="it-IT"/>
        </w:rPr>
        <w:t xml:space="preserve">(OS) </w:t>
      </w:r>
      <w:r w:rsidR="00082AC4" w:rsidRPr="000742FE">
        <w:rPr>
          <w:rFonts w:ascii="Trebuchet MS" w:hAnsi="Trebuchet MS" w:cstheme="minorHAnsi"/>
          <w:color w:val="000000" w:themeColor="text1"/>
          <w:sz w:val="22"/>
          <w:szCs w:val="22"/>
          <w:lang w:val="it-IT"/>
        </w:rPr>
        <w:t xml:space="preserve">nella popolazione </w:t>
      </w:r>
      <w:r w:rsidRPr="000742FE">
        <w:rPr>
          <w:rFonts w:ascii="Trebuchet MS" w:hAnsi="Trebuchet MS" w:cstheme="minorHAnsi"/>
          <w:color w:val="000000" w:themeColor="text1"/>
          <w:sz w:val="22"/>
          <w:szCs w:val="22"/>
          <w:lang w:val="it-IT"/>
        </w:rPr>
        <w:t>intent-to-treat</w:t>
      </w:r>
      <w:r w:rsidR="000F7E6B" w:rsidRPr="000742FE">
        <w:rPr>
          <w:rFonts w:ascii="Trebuchet MS" w:hAnsi="Trebuchet MS" w:cstheme="minorHAnsi"/>
          <w:color w:val="000000" w:themeColor="text1"/>
          <w:sz w:val="22"/>
          <w:szCs w:val="22"/>
          <w:lang w:val="it-IT"/>
        </w:rPr>
        <w:t xml:space="preserve"> (ITT)</w:t>
      </w:r>
      <w:r w:rsidRPr="000742FE">
        <w:rPr>
          <w:rFonts w:ascii="Trebuchet MS" w:hAnsi="Trebuchet MS" w:cstheme="minorHAnsi"/>
          <w:color w:val="000000" w:themeColor="text1"/>
          <w:sz w:val="22"/>
          <w:szCs w:val="22"/>
          <w:lang w:val="it-IT"/>
        </w:rPr>
        <w:t xml:space="preserve">. </w:t>
      </w:r>
      <w:r w:rsidR="00082AC4" w:rsidRPr="000742FE">
        <w:rPr>
          <w:rFonts w:ascii="Trebuchet MS" w:hAnsi="Trebuchet MS" w:cstheme="minorHAnsi"/>
          <w:color w:val="000000" w:themeColor="text1"/>
          <w:sz w:val="22"/>
          <w:szCs w:val="22"/>
          <w:lang w:val="it-IT"/>
        </w:rPr>
        <w:t>Gli en</w:t>
      </w:r>
      <w:r w:rsidR="00E654A4" w:rsidRPr="000742FE">
        <w:rPr>
          <w:rFonts w:ascii="Trebuchet MS" w:hAnsi="Trebuchet MS" w:cstheme="minorHAnsi"/>
          <w:color w:val="000000" w:themeColor="text1"/>
          <w:sz w:val="22"/>
          <w:szCs w:val="22"/>
          <w:lang w:val="it-IT"/>
        </w:rPr>
        <w:t>d</w:t>
      </w:r>
      <w:r w:rsidR="00082AC4" w:rsidRPr="000742FE">
        <w:rPr>
          <w:rFonts w:ascii="Trebuchet MS" w:hAnsi="Trebuchet MS" w:cstheme="minorHAnsi"/>
          <w:color w:val="000000" w:themeColor="text1"/>
          <w:sz w:val="22"/>
          <w:szCs w:val="22"/>
          <w:lang w:val="it-IT"/>
        </w:rPr>
        <w:t>point secondari</w:t>
      </w:r>
      <w:r w:rsidR="00677EA6" w:rsidRPr="000742FE">
        <w:rPr>
          <w:rFonts w:ascii="Trebuchet MS" w:hAnsi="Trebuchet MS" w:cstheme="minorHAnsi"/>
          <w:color w:val="000000" w:themeColor="text1"/>
          <w:sz w:val="22"/>
          <w:szCs w:val="22"/>
          <w:lang w:val="it-IT"/>
        </w:rPr>
        <w:t>,</w:t>
      </w:r>
      <w:r w:rsidR="00082AC4" w:rsidRPr="000742FE">
        <w:rPr>
          <w:rFonts w:ascii="Trebuchet MS" w:hAnsi="Trebuchet MS" w:cstheme="minorHAnsi"/>
          <w:color w:val="000000" w:themeColor="text1"/>
          <w:sz w:val="22"/>
          <w:szCs w:val="22"/>
          <w:lang w:val="it-IT"/>
        </w:rPr>
        <w:t xml:space="preserve"> </w:t>
      </w:r>
      <w:r w:rsidR="00677EA6" w:rsidRPr="000742FE">
        <w:rPr>
          <w:rFonts w:ascii="Trebuchet MS" w:hAnsi="Trebuchet MS" w:cstheme="minorHAnsi"/>
          <w:color w:val="000000" w:themeColor="text1"/>
          <w:sz w:val="22"/>
          <w:szCs w:val="22"/>
          <w:lang w:val="it-IT"/>
        </w:rPr>
        <w:t xml:space="preserve">nell’ordine, </w:t>
      </w:r>
      <w:r w:rsidR="00082AC4" w:rsidRPr="000742FE">
        <w:rPr>
          <w:rFonts w:ascii="Trebuchet MS" w:hAnsi="Trebuchet MS" w:cstheme="minorHAnsi"/>
          <w:color w:val="000000" w:themeColor="text1"/>
          <w:sz w:val="22"/>
          <w:szCs w:val="22"/>
          <w:lang w:val="it-IT"/>
        </w:rPr>
        <w:t xml:space="preserve">comprendevano la sopravvivenza libera da progressione </w:t>
      </w:r>
      <w:r w:rsidRPr="000742FE">
        <w:rPr>
          <w:rFonts w:ascii="Trebuchet MS" w:hAnsi="Trebuchet MS" w:cstheme="minorHAnsi"/>
          <w:color w:val="000000" w:themeColor="text1"/>
          <w:sz w:val="22"/>
          <w:szCs w:val="22"/>
          <w:lang w:val="it-IT"/>
        </w:rPr>
        <w:t>(PFS)</w:t>
      </w:r>
      <w:r w:rsidR="00E914E4" w:rsidRPr="000742FE">
        <w:rPr>
          <w:rFonts w:ascii="Trebuchet MS" w:hAnsi="Trebuchet MS" w:cstheme="minorHAnsi"/>
          <w:color w:val="000000" w:themeColor="text1"/>
          <w:sz w:val="22"/>
          <w:szCs w:val="22"/>
          <w:lang w:val="it-IT"/>
        </w:rPr>
        <w:t xml:space="preserve"> </w:t>
      </w:r>
      <w:r w:rsidR="00082AC4" w:rsidRPr="000742FE">
        <w:rPr>
          <w:rFonts w:ascii="Trebuchet MS" w:hAnsi="Trebuchet MS" w:cstheme="minorHAnsi"/>
          <w:color w:val="000000" w:themeColor="text1"/>
          <w:sz w:val="22"/>
          <w:szCs w:val="22"/>
          <w:lang w:val="it-IT"/>
        </w:rPr>
        <w:t xml:space="preserve">e il tasso di risposta globale </w:t>
      </w:r>
      <w:r w:rsidRPr="000742FE">
        <w:rPr>
          <w:rFonts w:ascii="Trebuchet MS" w:hAnsi="Trebuchet MS" w:cstheme="minorHAnsi"/>
          <w:color w:val="000000" w:themeColor="text1"/>
          <w:sz w:val="22"/>
          <w:szCs w:val="22"/>
          <w:lang w:val="it-IT"/>
        </w:rPr>
        <w:t>(ORR)</w:t>
      </w:r>
      <w:r w:rsidR="00082AC4" w:rsidRPr="000742FE">
        <w:rPr>
          <w:rFonts w:ascii="Trebuchet MS" w:hAnsi="Trebuchet MS" w:cstheme="minorHAnsi"/>
          <w:color w:val="000000" w:themeColor="text1"/>
          <w:sz w:val="22"/>
          <w:szCs w:val="22"/>
          <w:lang w:val="it-IT"/>
        </w:rPr>
        <w:t>; lo studio inoltre ha valutato le misure di efficacia in base ai biomarcatori</w:t>
      </w:r>
      <w:r w:rsidRPr="000742FE">
        <w:rPr>
          <w:rFonts w:ascii="Trebuchet MS" w:hAnsi="Trebuchet MS" w:cstheme="minorHAnsi"/>
          <w:color w:val="000000" w:themeColor="text1"/>
          <w:sz w:val="22"/>
          <w:szCs w:val="22"/>
          <w:lang w:val="it-IT"/>
        </w:rPr>
        <w:t>.</w:t>
      </w:r>
    </w:p>
    <w:p w14:paraId="542ABFDD" w14:textId="77777777" w:rsidR="002C1C51" w:rsidRPr="000742FE" w:rsidRDefault="002C1C51" w:rsidP="00B85040">
      <w:pPr>
        <w:spacing w:line="360" w:lineRule="auto"/>
        <w:contextualSpacing/>
        <w:jc w:val="both"/>
        <w:rPr>
          <w:rFonts w:ascii="Trebuchet MS" w:hAnsi="Trebuchet MS" w:cstheme="minorHAnsi"/>
          <w:color w:val="000000" w:themeColor="text1"/>
          <w:sz w:val="22"/>
          <w:szCs w:val="22"/>
          <w:lang w:val="it-IT"/>
        </w:rPr>
      </w:pPr>
    </w:p>
    <w:p w14:paraId="070F76B4" w14:textId="77777777" w:rsidR="008F761B" w:rsidRPr="000742FE" w:rsidRDefault="00082AC4" w:rsidP="00B85040">
      <w:pPr>
        <w:spacing w:line="360" w:lineRule="auto"/>
        <w:contextualSpacing/>
        <w:jc w:val="both"/>
        <w:rPr>
          <w:rFonts w:ascii="Trebuchet MS" w:hAnsi="Trebuchet MS" w:cstheme="minorHAnsi"/>
          <w:color w:val="000000" w:themeColor="text1"/>
          <w:sz w:val="22"/>
          <w:szCs w:val="22"/>
          <w:lang w:val="it-IT"/>
        </w:rPr>
      </w:pPr>
      <w:r w:rsidRPr="000742FE">
        <w:rPr>
          <w:rFonts w:ascii="Trebuchet MS" w:hAnsi="Trebuchet MS" w:cstheme="minorHAnsi"/>
          <w:b/>
          <w:bCs/>
          <w:color w:val="000000" w:themeColor="text1"/>
          <w:sz w:val="22"/>
          <w:szCs w:val="22"/>
          <w:u w:val="single"/>
          <w:lang w:val="it-IT"/>
        </w:rPr>
        <w:t xml:space="preserve">Il tumore del polmone </w:t>
      </w:r>
    </w:p>
    <w:p w14:paraId="77497CB4" w14:textId="2583877E" w:rsidR="008F761B" w:rsidRPr="000742FE" w:rsidRDefault="007B07EA" w:rsidP="00B85040">
      <w:pPr>
        <w:spacing w:line="360" w:lineRule="auto"/>
        <w:ind w:firstLine="720"/>
        <w:contextualSpacing/>
        <w:jc w:val="both"/>
        <w:rPr>
          <w:rFonts w:ascii="Trebuchet MS" w:hAnsi="Trebuchet MS" w:cstheme="minorHAnsi"/>
          <w:color w:val="000000" w:themeColor="text1"/>
          <w:sz w:val="22"/>
          <w:szCs w:val="22"/>
          <w:lang w:val="it-IT"/>
        </w:rPr>
      </w:pPr>
      <w:r w:rsidRPr="000742FE">
        <w:rPr>
          <w:rFonts w:ascii="Trebuchet MS" w:hAnsi="Trebuchet MS" w:cstheme="minorHAnsi"/>
          <w:color w:val="000000" w:themeColor="text1"/>
          <w:sz w:val="22"/>
          <w:szCs w:val="22"/>
          <w:lang w:val="it-IT"/>
        </w:rPr>
        <w:t>Il tumore del polmone è</w:t>
      </w:r>
      <w:r w:rsidR="00082AC4" w:rsidRPr="000742FE">
        <w:rPr>
          <w:rFonts w:ascii="Trebuchet MS" w:hAnsi="Trebuchet MS" w:cstheme="minorHAnsi"/>
          <w:color w:val="000000" w:themeColor="text1"/>
          <w:sz w:val="22"/>
          <w:szCs w:val="22"/>
          <w:lang w:val="it-IT"/>
        </w:rPr>
        <w:t xml:space="preserve"> la causa principale di morte per </w:t>
      </w:r>
      <w:r w:rsidR="00E654A4" w:rsidRPr="000742FE">
        <w:rPr>
          <w:rFonts w:ascii="Trebuchet MS" w:hAnsi="Trebuchet MS" w:cstheme="minorHAnsi"/>
          <w:color w:val="000000" w:themeColor="text1"/>
          <w:sz w:val="22"/>
          <w:szCs w:val="22"/>
          <w:lang w:val="it-IT"/>
        </w:rPr>
        <w:t xml:space="preserve">tumore </w:t>
      </w:r>
      <w:r w:rsidR="00082AC4" w:rsidRPr="000742FE">
        <w:rPr>
          <w:rFonts w:ascii="Trebuchet MS" w:hAnsi="Trebuchet MS" w:cstheme="minorHAnsi"/>
          <w:color w:val="000000" w:themeColor="text1"/>
          <w:sz w:val="22"/>
          <w:szCs w:val="22"/>
          <w:lang w:val="it-IT"/>
        </w:rPr>
        <w:t>a livello globale. Le due tipologie principali di tumore del polmone sono non a piccol</w:t>
      </w:r>
      <w:r w:rsidR="004B73A1" w:rsidRPr="000742FE">
        <w:rPr>
          <w:rFonts w:ascii="Trebuchet MS" w:hAnsi="Trebuchet MS" w:cstheme="minorHAnsi"/>
          <w:color w:val="000000" w:themeColor="text1"/>
          <w:sz w:val="22"/>
          <w:szCs w:val="22"/>
          <w:lang w:val="it-IT"/>
        </w:rPr>
        <w:t>e</w:t>
      </w:r>
      <w:r w:rsidR="00082AC4" w:rsidRPr="000742FE">
        <w:rPr>
          <w:rFonts w:ascii="Trebuchet MS" w:hAnsi="Trebuchet MS" w:cstheme="minorHAnsi"/>
          <w:color w:val="000000" w:themeColor="text1"/>
          <w:sz w:val="22"/>
          <w:szCs w:val="22"/>
          <w:lang w:val="it-IT"/>
        </w:rPr>
        <w:t xml:space="preserve"> cellule e a piccol</w:t>
      </w:r>
      <w:r w:rsidR="004B73A1" w:rsidRPr="000742FE">
        <w:rPr>
          <w:rFonts w:ascii="Trebuchet MS" w:hAnsi="Trebuchet MS" w:cstheme="minorHAnsi"/>
          <w:color w:val="000000" w:themeColor="text1"/>
          <w:sz w:val="22"/>
          <w:szCs w:val="22"/>
          <w:lang w:val="it-IT"/>
        </w:rPr>
        <w:t>e</w:t>
      </w:r>
      <w:r w:rsidR="00082AC4" w:rsidRPr="000742FE">
        <w:rPr>
          <w:rFonts w:ascii="Trebuchet MS" w:hAnsi="Trebuchet MS" w:cstheme="minorHAnsi"/>
          <w:color w:val="000000" w:themeColor="text1"/>
          <w:sz w:val="22"/>
          <w:szCs w:val="22"/>
          <w:lang w:val="it-IT"/>
        </w:rPr>
        <w:t xml:space="preserve"> cellule. </w:t>
      </w:r>
      <w:r w:rsidR="004B73A1" w:rsidRPr="000742FE">
        <w:rPr>
          <w:rFonts w:ascii="Trebuchet MS" w:hAnsi="Trebuchet MS" w:cstheme="minorHAnsi"/>
          <w:color w:val="000000" w:themeColor="text1"/>
          <w:sz w:val="22"/>
          <w:szCs w:val="22"/>
          <w:lang w:val="it-IT"/>
        </w:rPr>
        <w:t>Il tumore n</w:t>
      </w:r>
      <w:r w:rsidR="008F761B" w:rsidRPr="000742FE">
        <w:rPr>
          <w:rFonts w:ascii="Trebuchet MS" w:hAnsi="Trebuchet MS" w:cstheme="minorHAnsi"/>
          <w:color w:val="000000" w:themeColor="text1"/>
          <w:sz w:val="22"/>
          <w:szCs w:val="22"/>
          <w:lang w:val="it-IT"/>
        </w:rPr>
        <w:t>on</w:t>
      </w:r>
      <w:r w:rsidR="00082AC4" w:rsidRPr="000742FE">
        <w:rPr>
          <w:rFonts w:ascii="Trebuchet MS" w:hAnsi="Trebuchet MS" w:cstheme="minorHAnsi"/>
          <w:color w:val="000000" w:themeColor="text1"/>
          <w:sz w:val="22"/>
          <w:szCs w:val="22"/>
          <w:lang w:val="it-IT"/>
        </w:rPr>
        <w:t xml:space="preserve"> a piccol</w:t>
      </w:r>
      <w:r w:rsidR="004B73A1" w:rsidRPr="000742FE">
        <w:rPr>
          <w:rFonts w:ascii="Trebuchet MS" w:hAnsi="Trebuchet MS" w:cstheme="minorHAnsi"/>
          <w:color w:val="000000" w:themeColor="text1"/>
          <w:sz w:val="22"/>
          <w:szCs w:val="22"/>
          <w:lang w:val="it-IT"/>
        </w:rPr>
        <w:t>e</w:t>
      </w:r>
      <w:r w:rsidR="00082AC4" w:rsidRPr="000742FE">
        <w:rPr>
          <w:rFonts w:ascii="Trebuchet MS" w:hAnsi="Trebuchet MS" w:cstheme="minorHAnsi"/>
          <w:color w:val="000000" w:themeColor="text1"/>
          <w:sz w:val="22"/>
          <w:szCs w:val="22"/>
          <w:lang w:val="it-IT"/>
        </w:rPr>
        <w:t xml:space="preserve"> cellule </w:t>
      </w:r>
      <w:r w:rsidR="008F761B" w:rsidRPr="000742FE">
        <w:rPr>
          <w:rFonts w:ascii="Trebuchet MS" w:hAnsi="Trebuchet MS" w:cstheme="minorHAnsi"/>
          <w:color w:val="000000" w:themeColor="text1"/>
          <w:sz w:val="22"/>
          <w:szCs w:val="22"/>
          <w:lang w:val="it-IT"/>
        </w:rPr>
        <w:t xml:space="preserve">(NSCLC) </w:t>
      </w:r>
      <w:r w:rsidR="004B73A1" w:rsidRPr="000742FE">
        <w:rPr>
          <w:rFonts w:ascii="Trebuchet MS" w:hAnsi="Trebuchet MS" w:cstheme="minorHAnsi"/>
          <w:color w:val="000000" w:themeColor="text1"/>
          <w:sz w:val="22"/>
          <w:szCs w:val="22"/>
          <w:lang w:val="it-IT"/>
        </w:rPr>
        <w:t>è u</w:t>
      </w:r>
      <w:r w:rsidRPr="000742FE">
        <w:rPr>
          <w:rFonts w:ascii="Trebuchet MS" w:hAnsi="Trebuchet MS" w:cstheme="minorHAnsi"/>
          <w:color w:val="000000" w:themeColor="text1"/>
          <w:sz w:val="22"/>
          <w:szCs w:val="22"/>
          <w:lang w:val="it-IT"/>
        </w:rPr>
        <w:t>no dei più comuni</w:t>
      </w:r>
      <w:r w:rsidR="004B73A1" w:rsidRPr="000742FE">
        <w:rPr>
          <w:rFonts w:ascii="Trebuchet MS" w:hAnsi="Trebuchet MS" w:cstheme="minorHAnsi"/>
          <w:color w:val="000000" w:themeColor="text1"/>
          <w:sz w:val="22"/>
          <w:szCs w:val="22"/>
          <w:lang w:val="it-IT"/>
        </w:rPr>
        <w:t xml:space="preserve"> e costituisce l’</w:t>
      </w:r>
      <w:r w:rsidR="008F761B" w:rsidRPr="000742FE">
        <w:rPr>
          <w:rFonts w:ascii="Trebuchet MS" w:hAnsi="Trebuchet MS" w:cstheme="minorHAnsi"/>
          <w:color w:val="000000" w:themeColor="text1"/>
          <w:sz w:val="22"/>
          <w:szCs w:val="22"/>
          <w:lang w:val="it-IT"/>
        </w:rPr>
        <w:t xml:space="preserve">84% </w:t>
      </w:r>
      <w:r w:rsidR="004B73A1" w:rsidRPr="000742FE">
        <w:rPr>
          <w:rFonts w:ascii="Trebuchet MS" w:hAnsi="Trebuchet MS" w:cstheme="minorHAnsi"/>
          <w:color w:val="000000" w:themeColor="text1"/>
          <w:sz w:val="22"/>
          <w:szCs w:val="22"/>
          <w:lang w:val="it-IT"/>
        </w:rPr>
        <w:t xml:space="preserve">delle diagnosi di tumore del polmone. I tassi di sopravvivenza variano a seconda dello stadio e della tipologia di tumore </w:t>
      </w:r>
      <w:r w:rsidR="00E654A4" w:rsidRPr="000742FE">
        <w:rPr>
          <w:rFonts w:ascii="Trebuchet MS" w:hAnsi="Trebuchet MS" w:cstheme="minorHAnsi"/>
          <w:color w:val="000000" w:themeColor="text1"/>
          <w:sz w:val="22"/>
          <w:szCs w:val="22"/>
          <w:lang w:val="it-IT"/>
        </w:rPr>
        <w:t xml:space="preserve">al momento della </w:t>
      </w:r>
      <w:r w:rsidR="004B73A1" w:rsidRPr="000742FE">
        <w:rPr>
          <w:rFonts w:ascii="Trebuchet MS" w:hAnsi="Trebuchet MS" w:cstheme="minorHAnsi"/>
          <w:color w:val="000000" w:themeColor="text1"/>
          <w:sz w:val="22"/>
          <w:szCs w:val="22"/>
          <w:lang w:val="it-IT"/>
        </w:rPr>
        <w:t>diagnosi. Per</w:t>
      </w:r>
      <w:r w:rsidR="00677EA6" w:rsidRPr="000742FE">
        <w:rPr>
          <w:rFonts w:ascii="Trebuchet MS" w:hAnsi="Trebuchet MS" w:cstheme="minorHAnsi"/>
          <w:color w:val="000000" w:themeColor="text1"/>
          <w:sz w:val="22"/>
          <w:szCs w:val="22"/>
          <w:lang w:val="it-IT"/>
        </w:rPr>
        <w:t xml:space="preserve"> i</w:t>
      </w:r>
      <w:r w:rsidR="004B73A1" w:rsidRPr="000742FE">
        <w:rPr>
          <w:rFonts w:ascii="Trebuchet MS" w:hAnsi="Trebuchet MS" w:cstheme="minorHAnsi"/>
          <w:color w:val="000000" w:themeColor="text1"/>
          <w:sz w:val="22"/>
          <w:szCs w:val="22"/>
          <w:lang w:val="it-IT"/>
        </w:rPr>
        <w:t xml:space="preserve"> pazienti con </w:t>
      </w:r>
      <w:r w:rsidR="00E654A4" w:rsidRPr="000742FE">
        <w:rPr>
          <w:rFonts w:ascii="Trebuchet MS" w:hAnsi="Trebuchet MS" w:cstheme="minorHAnsi"/>
          <w:color w:val="000000" w:themeColor="text1"/>
          <w:sz w:val="22"/>
          <w:szCs w:val="22"/>
          <w:lang w:val="it-IT"/>
        </w:rPr>
        <w:t xml:space="preserve">una diagnosi di </w:t>
      </w:r>
      <w:r w:rsidR="004B73A1" w:rsidRPr="000742FE">
        <w:rPr>
          <w:rFonts w:ascii="Trebuchet MS" w:hAnsi="Trebuchet MS" w:cstheme="minorHAnsi"/>
          <w:color w:val="000000" w:themeColor="text1"/>
          <w:sz w:val="22"/>
          <w:szCs w:val="22"/>
          <w:lang w:val="it-IT"/>
        </w:rPr>
        <w:t xml:space="preserve">tumore del polmone metastatico la sopravvivenza a cinque anni è circa del </w:t>
      </w:r>
      <w:r w:rsidR="008F761B" w:rsidRPr="000742FE">
        <w:rPr>
          <w:rFonts w:ascii="Trebuchet MS" w:hAnsi="Trebuchet MS" w:cstheme="minorHAnsi"/>
          <w:color w:val="000000" w:themeColor="text1"/>
          <w:sz w:val="22"/>
          <w:szCs w:val="22"/>
          <w:lang w:val="it-IT"/>
        </w:rPr>
        <w:t>5%.</w:t>
      </w:r>
    </w:p>
    <w:p w14:paraId="5941F0C3" w14:textId="77777777" w:rsidR="008F761B" w:rsidRPr="000742FE" w:rsidRDefault="008F761B" w:rsidP="00B85040">
      <w:pPr>
        <w:spacing w:line="360" w:lineRule="auto"/>
        <w:jc w:val="both"/>
        <w:rPr>
          <w:rFonts w:ascii="Trebuchet MS" w:hAnsi="Trebuchet MS" w:cstheme="minorHAnsi"/>
          <w:color w:val="000000" w:themeColor="text1"/>
          <w:sz w:val="22"/>
          <w:szCs w:val="22"/>
          <w:lang w:val="it-IT"/>
        </w:rPr>
      </w:pPr>
    </w:p>
    <w:p w14:paraId="51BE4DEB" w14:textId="0D316539" w:rsidR="000317DC" w:rsidRPr="000742FE" w:rsidRDefault="000317DC" w:rsidP="00B85040">
      <w:pPr>
        <w:spacing w:line="360" w:lineRule="auto"/>
        <w:jc w:val="both"/>
        <w:rPr>
          <w:rFonts w:ascii="Trebuchet MS" w:eastAsia="Times New Roman" w:hAnsi="Trebuchet MS" w:cstheme="minorHAnsi"/>
          <w:b/>
          <w:bCs/>
          <w:sz w:val="22"/>
          <w:szCs w:val="22"/>
          <w:u w:val="single"/>
          <w:lang w:val="it-IT"/>
        </w:rPr>
      </w:pPr>
      <w:r w:rsidRPr="000742FE">
        <w:rPr>
          <w:rFonts w:ascii="Trebuchet MS" w:eastAsia="Times New Roman" w:hAnsi="Trebuchet MS" w:cstheme="minorHAnsi"/>
          <w:b/>
          <w:sz w:val="22"/>
          <w:szCs w:val="22"/>
          <w:u w:val="single"/>
          <w:lang w:val="it-IT"/>
        </w:rPr>
        <w:lastRenderedPageBreak/>
        <w:t>Bristol</w:t>
      </w:r>
      <w:r w:rsidR="007217D1" w:rsidRPr="000742FE">
        <w:rPr>
          <w:rFonts w:ascii="Trebuchet MS" w:eastAsia="Times New Roman" w:hAnsi="Trebuchet MS" w:cstheme="minorHAnsi"/>
          <w:b/>
          <w:sz w:val="22"/>
          <w:szCs w:val="22"/>
          <w:u w:val="single"/>
          <w:lang w:val="it-IT"/>
        </w:rPr>
        <w:t xml:space="preserve"> </w:t>
      </w:r>
      <w:r w:rsidRPr="000742FE">
        <w:rPr>
          <w:rFonts w:ascii="Trebuchet MS" w:eastAsia="Times New Roman" w:hAnsi="Trebuchet MS" w:cstheme="minorHAnsi"/>
          <w:b/>
          <w:sz w:val="22"/>
          <w:szCs w:val="22"/>
          <w:u w:val="single"/>
          <w:lang w:val="it-IT"/>
        </w:rPr>
        <w:t>Myers Squibb: avanguardia nella ricerca oncologica</w:t>
      </w:r>
    </w:p>
    <w:p w14:paraId="14B68C66" w14:textId="77777777" w:rsidR="00765FBF" w:rsidRDefault="000317DC" w:rsidP="00B85040">
      <w:pPr>
        <w:spacing w:line="360" w:lineRule="auto"/>
        <w:ind w:firstLine="567"/>
        <w:jc w:val="both"/>
        <w:rPr>
          <w:rFonts w:ascii="Trebuchet MS" w:eastAsia="Times New Roman" w:hAnsi="Trebuchet MS" w:cstheme="minorHAnsi"/>
          <w:sz w:val="22"/>
          <w:szCs w:val="22"/>
          <w:lang w:val="it-IT" w:eastAsia="it-IT"/>
        </w:rPr>
      </w:pPr>
      <w:r w:rsidRPr="000742FE">
        <w:rPr>
          <w:rFonts w:ascii="Trebuchet MS" w:eastAsia="Times New Roman" w:hAnsi="Trebuchet MS" w:cstheme="minorHAnsi"/>
          <w:sz w:val="22"/>
          <w:szCs w:val="22"/>
          <w:lang w:val="it-IT" w:eastAsia="it-IT"/>
        </w:rPr>
        <w:t>In Bristol</w:t>
      </w:r>
      <w:r w:rsidR="007217D1" w:rsidRPr="000742FE">
        <w:rPr>
          <w:rFonts w:ascii="Trebuchet MS" w:eastAsia="Times New Roman" w:hAnsi="Trebuchet MS" w:cstheme="minorHAnsi"/>
          <w:sz w:val="22"/>
          <w:szCs w:val="22"/>
          <w:lang w:val="it-IT" w:eastAsia="it-IT"/>
        </w:rPr>
        <w:t xml:space="preserve"> </w:t>
      </w:r>
      <w:r w:rsidRPr="000742FE">
        <w:rPr>
          <w:rFonts w:ascii="Trebuchet MS" w:eastAsia="Times New Roman" w:hAnsi="Trebuchet MS" w:cstheme="minorHAnsi"/>
          <w:sz w:val="22"/>
          <w:szCs w:val="22"/>
          <w:lang w:val="it-IT" w:eastAsia="it-IT"/>
        </w:rPr>
        <w:t xml:space="preserve">Myers Squibb i pazienti sono al centro di tutto ciò che facciamo. La nostra ricerca è focalizzata </w:t>
      </w:r>
      <w:r w:rsidR="00E8083B" w:rsidRPr="000742FE">
        <w:rPr>
          <w:rFonts w:ascii="Trebuchet MS" w:eastAsia="Times New Roman" w:hAnsi="Trebuchet MS" w:cstheme="minorHAnsi"/>
          <w:sz w:val="22"/>
          <w:szCs w:val="22"/>
          <w:lang w:val="it-IT" w:eastAsia="it-IT"/>
        </w:rPr>
        <w:t xml:space="preserve">a migliorare la </w:t>
      </w:r>
      <w:r w:rsidRPr="000742FE">
        <w:rPr>
          <w:rFonts w:ascii="Trebuchet MS" w:eastAsia="Times New Roman" w:hAnsi="Trebuchet MS" w:cstheme="minorHAnsi"/>
          <w:sz w:val="22"/>
          <w:szCs w:val="22"/>
          <w:lang w:val="it-IT" w:eastAsia="it-IT"/>
        </w:rPr>
        <w:t xml:space="preserve">qualità </w:t>
      </w:r>
      <w:r w:rsidR="00E8083B" w:rsidRPr="000742FE">
        <w:rPr>
          <w:rFonts w:ascii="Trebuchet MS" w:eastAsia="Times New Roman" w:hAnsi="Trebuchet MS" w:cstheme="minorHAnsi"/>
          <w:sz w:val="22"/>
          <w:szCs w:val="22"/>
          <w:lang w:val="it-IT" w:eastAsia="it-IT"/>
        </w:rPr>
        <w:t xml:space="preserve">di vita dei pazienti, aumentare la </w:t>
      </w:r>
      <w:r w:rsidRPr="000742FE">
        <w:rPr>
          <w:rFonts w:ascii="Trebuchet MS" w:eastAsia="Times New Roman" w:hAnsi="Trebuchet MS" w:cstheme="minorHAnsi"/>
          <w:sz w:val="22"/>
          <w:szCs w:val="22"/>
          <w:lang w:val="it-IT" w:eastAsia="it-IT"/>
        </w:rPr>
        <w:t xml:space="preserve">sopravvivenza a lungo termine e rendere la cura possibile. </w:t>
      </w:r>
      <w:r w:rsidR="00765FBF" w:rsidRPr="00765FBF">
        <w:rPr>
          <w:rFonts w:ascii="Trebuchet MS" w:eastAsia="Times New Roman" w:hAnsi="Trebuchet MS" w:cstheme="minorHAnsi"/>
          <w:sz w:val="22"/>
          <w:szCs w:val="22"/>
          <w:lang w:val="it-IT" w:eastAsia="it-IT"/>
        </w:rPr>
        <w:t xml:space="preserve">Forti di una profonda esperienza scientifica e grazie all’utilizzo di tecnologie e piattaforme all’avanguardia, scopriamo, sviluppiamo e rendiamo disponibili nuovi trattamenti per i pazienti. </w:t>
      </w:r>
    </w:p>
    <w:p w14:paraId="3E856917" w14:textId="3331B341" w:rsidR="000317DC" w:rsidRPr="000742FE" w:rsidRDefault="000317DC" w:rsidP="00B85040">
      <w:pPr>
        <w:spacing w:line="360" w:lineRule="auto"/>
        <w:ind w:firstLine="567"/>
        <w:jc w:val="both"/>
        <w:rPr>
          <w:rFonts w:ascii="Trebuchet MS" w:eastAsia="Times New Roman" w:hAnsi="Trebuchet MS" w:cstheme="minorHAnsi"/>
          <w:sz w:val="22"/>
          <w:szCs w:val="22"/>
          <w:lang w:val="it-IT" w:eastAsia="it-IT"/>
        </w:rPr>
      </w:pPr>
      <w:r w:rsidRPr="000742FE">
        <w:rPr>
          <w:rFonts w:ascii="Trebuchet MS" w:eastAsia="Times New Roman" w:hAnsi="Trebuchet MS" w:cstheme="minorHAnsi"/>
          <w:sz w:val="22"/>
          <w:szCs w:val="22"/>
          <w:lang w:val="it-IT" w:eastAsia="it-IT"/>
        </w:rPr>
        <w:t>Attraverso il nostro lavoro di grande impatto e la nostra</w:t>
      </w:r>
      <w:r w:rsidR="000B749A" w:rsidRPr="000742FE">
        <w:rPr>
          <w:rFonts w:ascii="Trebuchet MS" w:eastAsia="Times New Roman" w:hAnsi="Trebuchet MS" w:cstheme="minorHAnsi"/>
          <w:sz w:val="22"/>
          <w:szCs w:val="22"/>
          <w:lang w:val="it-IT" w:eastAsia="it-IT"/>
        </w:rPr>
        <w:t xml:space="preserve"> </w:t>
      </w:r>
      <w:r w:rsidRPr="000742FE">
        <w:rPr>
          <w:rFonts w:ascii="Trebuchet MS" w:eastAsia="Times New Roman" w:hAnsi="Trebuchet MS" w:cstheme="minorHAnsi"/>
          <w:sz w:val="22"/>
          <w:szCs w:val="22"/>
          <w:lang w:val="it-IT" w:eastAsia="it-IT"/>
        </w:rPr>
        <w:t xml:space="preserve">eredità in ematologia e immuno-oncologia che ha cambiato le aspettative di sopravvivenza in molti tumori, i nostri ricercatori stanno facendo progredire una profonda e diversificata pipeline in molti modi. </w:t>
      </w:r>
    </w:p>
    <w:p w14:paraId="1F1D776A" w14:textId="0008509C" w:rsidR="000317DC" w:rsidRPr="000742FE" w:rsidRDefault="000317DC" w:rsidP="00B85040">
      <w:pPr>
        <w:spacing w:line="360" w:lineRule="auto"/>
        <w:ind w:firstLine="567"/>
        <w:jc w:val="both"/>
        <w:rPr>
          <w:rStyle w:val="bwuline"/>
          <w:rFonts w:ascii="Trebuchet MS" w:hAnsi="Trebuchet MS" w:cstheme="minorHAnsi"/>
          <w:sz w:val="22"/>
          <w:szCs w:val="22"/>
          <w:lang w:val="it-IT"/>
        </w:rPr>
      </w:pPr>
      <w:r w:rsidRPr="000742FE">
        <w:rPr>
          <w:rFonts w:ascii="Trebuchet MS" w:eastAsia="Times New Roman" w:hAnsi="Trebuchet MS" w:cstheme="minorHAnsi"/>
          <w:sz w:val="22"/>
          <w:szCs w:val="22"/>
          <w:lang w:val="it-IT" w:eastAsia="it-IT"/>
        </w:rPr>
        <w:t xml:space="preserve">Nel campo della terapia cellulare, questo include la registrazione di agenti CAR-T per numerose </w:t>
      </w:r>
      <w:r w:rsidR="00765FBF">
        <w:rPr>
          <w:rFonts w:ascii="Trebuchet MS" w:eastAsia="Times New Roman" w:hAnsi="Trebuchet MS" w:cstheme="minorHAnsi"/>
          <w:sz w:val="22"/>
          <w:szCs w:val="22"/>
          <w:lang w:val="it-IT" w:eastAsia="it-IT"/>
        </w:rPr>
        <w:t>patologie</w:t>
      </w:r>
      <w:r w:rsidRPr="000742FE">
        <w:rPr>
          <w:rFonts w:ascii="Trebuchet MS" w:eastAsia="Times New Roman" w:hAnsi="Trebuchet MS" w:cstheme="minorHAnsi"/>
          <w:sz w:val="22"/>
          <w:szCs w:val="22"/>
          <w:lang w:val="it-IT" w:eastAsia="it-IT"/>
        </w:rPr>
        <w:t xml:space="preserve"> e una </w:t>
      </w:r>
      <w:r w:rsidR="00A93996" w:rsidRPr="000742FE">
        <w:rPr>
          <w:rFonts w:ascii="Trebuchet MS" w:eastAsia="Times New Roman" w:hAnsi="Trebuchet MS" w:cstheme="minorHAnsi"/>
          <w:sz w:val="22"/>
          <w:szCs w:val="22"/>
          <w:lang w:val="it-IT" w:eastAsia="it-IT"/>
        </w:rPr>
        <w:t xml:space="preserve">crescente </w:t>
      </w:r>
      <w:r w:rsidRPr="000742FE">
        <w:rPr>
          <w:rFonts w:ascii="Trebuchet MS" w:eastAsia="Times New Roman" w:hAnsi="Trebuchet MS" w:cstheme="minorHAnsi"/>
          <w:sz w:val="22"/>
          <w:szCs w:val="22"/>
          <w:lang w:val="it-IT" w:eastAsia="it-IT"/>
        </w:rPr>
        <w:t xml:space="preserve">pipeline in </w:t>
      </w:r>
      <w:r w:rsidR="00A93996" w:rsidRPr="000742FE">
        <w:rPr>
          <w:rFonts w:ascii="Trebuchet MS" w:eastAsia="Times New Roman" w:hAnsi="Trebuchet MS" w:cstheme="minorHAnsi"/>
          <w:sz w:val="22"/>
          <w:szCs w:val="22"/>
          <w:lang w:val="it-IT" w:eastAsia="it-IT"/>
        </w:rPr>
        <w:t xml:space="preserve">fase </w:t>
      </w:r>
      <w:r w:rsidRPr="000742FE">
        <w:rPr>
          <w:rFonts w:ascii="Trebuchet MS" w:eastAsia="Times New Roman" w:hAnsi="Trebuchet MS" w:cstheme="minorHAnsi"/>
          <w:sz w:val="22"/>
          <w:szCs w:val="22"/>
          <w:lang w:val="it-IT" w:eastAsia="it-IT"/>
        </w:rPr>
        <w:t xml:space="preserve">iniziale </w:t>
      </w:r>
      <w:r w:rsidR="00A93996" w:rsidRPr="000742FE">
        <w:rPr>
          <w:rFonts w:ascii="Trebuchet MS" w:eastAsia="Times New Roman" w:hAnsi="Trebuchet MS" w:cstheme="minorHAnsi"/>
          <w:sz w:val="22"/>
          <w:szCs w:val="22"/>
          <w:lang w:val="it-IT" w:eastAsia="it-IT"/>
        </w:rPr>
        <w:t xml:space="preserve">di sviluppo </w:t>
      </w:r>
      <w:r w:rsidRPr="000742FE">
        <w:rPr>
          <w:rFonts w:ascii="Trebuchet MS" w:eastAsia="Times New Roman" w:hAnsi="Trebuchet MS" w:cstheme="minorHAnsi"/>
          <w:sz w:val="22"/>
          <w:szCs w:val="22"/>
          <w:lang w:val="it-IT" w:eastAsia="it-IT"/>
        </w:rPr>
        <w:t xml:space="preserve">che amplia i bersagli della terapia </w:t>
      </w:r>
      <w:r w:rsidR="0051449A" w:rsidRPr="000742FE">
        <w:rPr>
          <w:rFonts w:ascii="Trebuchet MS" w:eastAsia="Times New Roman" w:hAnsi="Trebuchet MS" w:cstheme="minorHAnsi"/>
          <w:sz w:val="22"/>
          <w:szCs w:val="22"/>
          <w:lang w:val="it-IT" w:eastAsia="it-IT"/>
        </w:rPr>
        <w:t xml:space="preserve">cellulare e </w:t>
      </w:r>
      <w:r w:rsidRPr="000742FE">
        <w:rPr>
          <w:rFonts w:ascii="Trebuchet MS" w:eastAsia="Times New Roman" w:hAnsi="Trebuchet MS" w:cstheme="minorHAnsi"/>
          <w:sz w:val="22"/>
          <w:szCs w:val="22"/>
          <w:lang w:val="it-IT" w:eastAsia="it-IT"/>
        </w:rPr>
        <w:t xml:space="preserve">genica e le tecnologie. Stiamo sviluppando trattamenti </w:t>
      </w:r>
      <w:r w:rsidR="00536967" w:rsidRPr="000742FE">
        <w:rPr>
          <w:rFonts w:ascii="Trebuchet MS" w:eastAsia="Times New Roman" w:hAnsi="Trebuchet MS" w:cstheme="minorHAnsi"/>
          <w:sz w:val="22"/>
          <w:szCs w:val="22"/>
          <w:lang w:val="it-IT" w:eastAsia="it-IT"/>
        </w:rPr>
        <w:t>antitumorali</w:t>
      </w:r>
      <w:r w:rsidRPr="000742FE">
        <w:rPr>
          <w:rFonts w:ascii="Trebuchet MS" w:eastAsia="Times New Roman" w:hAnsi="Trebuchet MS" w:cstheme="minorHAnsi"/>
          <w:sz w:val="22"/>
          <w:szCs w:val="22"/>
          <w:lang w:val="it-IT" w:eastAsia="it-IT"/>
        </w:rPr>
        <w:t xml:space="preserve"> diretti a vie cellulari chiave utilizzando la nostra piattaforma di omeostasi proteica, </w:t>
      </w:r>
      <w:r w:rsidR="00536967" w:rsidRPr="000742FE">
        <w:rPr>
          <w:rFonts w:ascii="Trebuchet MS" w:eastAsia="Times New Roman" w:hAnsi="Trebuchet MS" w:cstheme="minorHAnsi"/>
          <w:sz w:val="22"/>
          <w:szCs w:val="22"/>
          <w:lang w:val="it-IT" w:eastAsia="it-IT"/>
        </w:rPr>
        <w:t xml:space="preserve">una </w:t>
      </w:r>
      <w:r w:rsidRPr="000742FE">
        <w:rPr>
          <w:rFonts w:ascii="Trebuchet MS" w:eastAsia="Times New Roman" w:hAnsi="Trebuchet MS" w:cstheme="minorHAnsi"/>
          <w:sz w:val="22"/>
          <w:szCs w:val="22"/>
          <w:lang w:val="it-IT" w:eastAsia="it-IT"/>
        </w:rPr>
        <w:t xml:space="preserve">competenza di ricerca che è stata il fondamento delle nostre terapie approvate per il mieloma multiplo e </w:t>
      </w:r>
      <w:r w:rsidR="00536967" w:rsidRPr="000742FE">
        <w:rPr>
          <w:rFonts w:ascii="Trebuchet MS" w:eastAsia="Times New Roman" w:hAnsi="Trebuchet MS" w:cstheme="minorHAnsi"/>
          <w:sz w:val="22"/>
          <w:szCs w:val="22"/>
          <w:lang w:val="it-IT" w:eastAsia="it-IT"/>
        </w:rPr>
        <w:t xml:space="preserve">diverse </w:t>
      </w:r>
      <w:r w:rsidRPr="000742FE">
        <w:rPr>
          <w:rFonts w:ascii="Trebuchet MS" w:eastAsia="Times New Roman" w:hAnsi="Trebuchet MS" w:cstheme="minorHAnsi"/>
          <w:sz w:val="22"/>
          <w:szCs w:val="22"/>
          <w:lang w:val="it-IT" w:eastAsia="it-IT"/>
        </w:rPr>
        <w:t xml:space="preserve">promettenti </w:t>
      </w:r>
      <w:r w:rsidR="00536967" w:rsidRPr="000742FE">
        <w:rPr>
          <w:rFonts w:ascii="Trebuchet MS" w:eastAsia="Times New Roman" w:hAnsi="Trebuchet MS" w:cstheme="minorHAnsi"/>
          <w:sz w:val="22"/>
          <w:szCs w:val="22"/>
          <w:lang w:val="it-IT" w:eastAsia="it-IT"/>
        </w:rPr>
        <w:t xml:space="preserve">molecole </w:t>
      </w:r>
      <w:r w:rsidRPr="000742FE">
        <w:rPr>
          <w:rFonts w:ascii="Trebuchet MS" w:eastAsia="Times New Roman" w:hAnsi="Trebuchet MS" w:cstheme="minorHAnsi"/>
          <w:sz w:val="22"/>
          <w:szCs w:val="22"/>
          <w:lang w:val="it-IT" w:eastAsia="it-IT"/>
        </w:rPr>
        <w:t xml:space="preserve">in fase iniziale o intermedia di sviluppo. I nostri ricercatori stanno sviluppando una pipeline </w:t>
      </w:r>
      <w:r w:rsidR="00765FBF">
        <w:rPr>
          <w:rFonts w:ascii="Trebuchet MS" w:eastAsia="Times New Roman" w:hAnsi="Trebuchet MS" w:cstheme="minorHAnsi"/>
          <w:sz w:val="22"/>
          <w:szCs w:val="22"/>
          <w:lang w:val="it-IT" w:eastAsia="it-IT"/>
        </w:rPr>
        <w:t xml:space="preserve">diversificata </w:t>
      </w:r>
      <w:r w:rsidRPr="000742FE">
        <w:rPr>
          <w:rFonts w:ascii="Trebuchet MS" w:eastAsia="Times New Roman" w:hAnsi="Trebuchet MS" w:cstheme="minorHAnsi"/>
          <w:sz w:val="22"/>
          <w:szCs w:val="22"/>
          <w:lang w:val="it-IT" w:eastAsia="it-IT"/>
        </w:rPr>
        <w:t xml:space="preserve">per mirare alle diverse vie del sistema immunitario e far fronte alle complesse e specifiche interazioni tra tumore, microambiente e sistema immunitario per </w:t>
      </w:r>
      <w:r w:rsidR="00546657" w:rsidRPr="000742FE">
        <w:rPr>
          <w:rFonts w:ascii="Trebuchet MS" w:eastAsia="Times New Roman" w:hAnsi="Trebuchet MS" w:cstheme="minorHAnsi"/>
          <w:sz w:val="22"/>
          <w:szCs w:val="22"/>
          <w:lang w:val="it-IT" w:eastAsia="it-IT"/>
        </w:rPr>
        <w:t>ampliare</w:t>
      </w:r>
      <w:r w:rsidR="00BC6D97" w:rsidRPr="000742FE">
        <w:rPr>
          <w:rFonts w:ascii="Trebuchet MS" w:eastAsia="Times New Roman" w:hAnsi="Trebuchet MS" w:cstheme="minorHAnsi"/>
          <w:sz w:val="22"/>
          <w:szCs w:val="22"/>
          <w:lang w:val="it-IT" w:eastAsia="it-IT"/>
        </w:rPr>
        <w:t xml:space="preserve"> </w:t>
      </w:r>
      <w:r w:rsidR="00546657" w:rsidRPr="000742FE">
        <w:rPr>
          <w:rFonts w:ascii="Trebuchet MS" w:eastAsia="Times New Roman" w:hAnsi="Trebuchet MS" w:cstheme="minorHAnsi"/>
          <w:sz w:val="22"/>
          <w:szCs w:val="22"/>
          <w:lang w:val="it-IT" w:eastAsia="it-IT"/>
        </w:rPr>
        <w:t xml:space="preserve">ulteriormente </w:t>
      </w:r>
      <w:r w:rsidR="00BC6D97" w:rsidRPr="000742FE">
        <w:rPr>
          <w:rFonts w:ascii="Trebuchet MS" w:eastAsia="Times New Roman" w:hAnsi="Trebuchet MS" w:cstheme="minorHAnsi"/>
          <w:sz w:val="22"/>
          <w:szCs w:val="22"/>
          <w:lang w:val="it-IT" w:eastAsia="it-IT"/>
        </w:rPr>
        <w:t>i progressi fatt</w:t>
      </w:r>
      <w:r w:rsidR="00546657" w:rsidRPr="000742FE">
        <w:rPr>
          <w:rFonts w:ascii="Trebuchet MS" w:eastAsia="Times New Roman" w:hAnsi="Trebuchet MS" w:cstheme="minorHAnsi"/>
          <w:sz w:val="22"/>
          <w:szCs w:val="22"/>
          <w:lang w:val="it-IT" w:eastAsia="it-IT"/>
        </w:rPr>
        <w:t>i</w:t>
      </w:r>
      <w:r w:rsidRPr="000742FE">
        <w:rPr>
          <w:rFonts w:ascii="Trebuchet MS" w:eastAsia="Times New Roman" w:hAnsi="Trebuchet MS" w:cstheme="minorHAnsi"/>
          <w:sz w:val="22"/>
          <w:szCs w:val="22"/>
          <w:lang w:val="it-IT" w:eastAsia="it-IT"/>
        </w:rPr>
        <w:t xml:space="preserve"> e aiutare </w:t>
      </w:r>
      <w:r w:rsidR="00546657" w:rsidRPr="000742FE">
        <w:rPr>
          <w:rFonts w:ascii="Trebuchet MS" w:eastAsia="Times New Roman" w:hAnsi="Trebuchet MS" w:cstheme="minorHAnsi"/>
          <w:sz w:val="22"/>
          <w:szCs w:val="22"/>
          <w:lang w:val="it-IT" w:eastAsia="it-IT"/>
        </w:rPr>
        <w:t xml:space="preserve">più </w:t>
      </w:r>
      <w:r w:rsidRPr="000742FE">
        <w:rPr>
          <w:rFonts w:ascii="Trebuchet MS" w:eastAsia="Times New Roman" w:hAnsi="Trebuchet MS" w:cstheme="minorHAnsi"/>
          <w:sz w:val="22"/>
          <w:szCs w:val="22"/>
          <w:lang w:val="it-IT" w:eastAsia="it-IT"/>
        </w:rPr>
        <w:t>pazienti a rispondere al trattamento. La combinazione di questi approcci è la chiave per fornire nuove opzioni di trattamento antitumorale e per affrontare</w:t>
      </w:r>
      <w:r w:rsidR="000B749A" w:rsidRPr="000742FE">
        <w:rPr>
          <w:rFonts w:ascii="Trebuchet MS" w:eastAsia="Times New Roman" w:hAnsi="Trebuchet MS" w:cstheme="minorHAnsi"/>
          <w:sz w:val="22"/>
          <w:szCs w:val="22"/>
          <w:lang w:val="it-IT" w:eastAsia="it-IT"/>
        </w:rPr>
        <w:t xml:space="preserve"> </w:t>
      </w:r>
      <w:r w:rsidRPr="000742FE">
        <w:rPr>
          <w:rFonts w:ascii="Trebuchet MS" w:eastAsia="Times New Roman" w:hAnsi="Trebuchet MS" w:cstheme="minorHAnsi"/>
          <w:sz w:val="22"/>
          <w:szCs w:val="22"/>
          <w:lang w:val="it-IT" w:eastAsia="it-IT"/>
        </w:rPr>
        <w:t xml:space="preserve">il tema sempre più importante della resistenza all'immunoterapia. La nostra capacità di innovazione deriva sia </w:t>
      </w:r>
      <w:r w:rsidR="00BC6D97" w:rsidRPr="000742FE">
        <w:rPr>
          <w:rFonts w:ascii="Trebuchet MS" w:eastAsia="Times New Roman" w:hAnsi="Trebuchet MS" w:cstheme="minorHAnsi"/>
          <w:sz w:val="22"/>
          <w:szCs w:val="22"/>
          <w:lang w:val="it-IT" w:eastAsia="it-IT"/>
        </w:rPr>
        <w:t xml:space="preserve">dall’interno </w:t>
      </w:r>
      <w:r w:rsidRPr="000742FE">
        <w:rPr>
          <w:rFonts w:ascii="Trebuchet MS" w:eastAsia="Times New Roman" w:hAnsi="Trebuchet MS" w:cstheme="minorHAnsi"/>
          <w:sz w:val="22"/>
          <w:szCs w:val="22"/>
          <w:lang w:val="it-IT" w:eastAsia="it-IT"/>
        </w:rPr>
        <w:t>sia dalla collaborazione con il mondo accademico, le istituzioni, le associazioni dei pazienti e le aziende biotech, affinché la promessa di nuove opz</w:t>
      </w:r>
      <w:r w:rsidR="00B54F5B">
        <w:rPr>
          <w:rFonts w:ascii="Trebuchet MS" w:eastAsia="Times New Roman" w:hAnsi="Trebuchet MS" w:cstheme="minorHAnsi"/>
          <w:sz w:val="22"/>
          <w:szCs w:val="22"/>
          <w:lang w:val="it-IT" w:eastAsia="it-IT"/>
        </w:rPr>
        <w:t xml:space="preserve">ioni di trattamento innovative </w:t>
      </w:r>
      <w:r w:rsidRPr="000742FE">
        <w:rPr>
          <w:rFonts w:ascii="Trebuchet MS" w:eastAsia="Times New Roman" w:hAnsi="Trebuchet MS" w:cstheme="minorHAnsi"/>
          <w:sz w:val="22"/>
          <w:szCs w:val="22"/>
          <w:lang w:val="it-IT" w:eastAsia="it-IT"/>
        </w:rPr>
        <w:t>diventi una realtà per i pazienti.</w:t>
      </w:r>
    </w:p>
    <w:p w14:paraId="487AF21A" w14:textId="77777777" w:rsidR="000317DC" w:rsidRPr="000742FE" w:rsidRDefault="000317DC" w:rsidP="00B85040">
      <w:pPr>
        <w:spacing w:line="360" w:lineRule="auto"/>
        <w:ind w:firstLine="567"/>
        <w:jc w:val="both"/>
        <w:rPr>
          <w:rStyle w:val="bwuline"/>
          <w:rFonts w:ascii="Trebuchet MS" w:hAnsi="Trebuchet MS" w:cstheme="minorHAnsi"/>
          <w:sz w:val="22"/>
          <w:szCs w:val="22"/>
          <w:lang w:val="it-IT"/>
        </w:rPr>
      </w:pPr>
    </w:p>
    <w:p w14:paraId="2FA6AC0F" w14:textId="77777777" w:rsidR="005F4E9A" w:rsidRPr="000742FE" w:rsidRDefault="005F4E9A" w:rsidP="00B85040">
      <w:pPr>
        <w:spacing w:line="360" w:lineRule="auto"/>
        <w:contextualSpacing/>
        <w:jc w:val="both"/>
        <w:rPr>
          <w:rFonts w:ascii="Trebuchet MS" w:eastAsia="Calibri" w:hAnsi="Trebuchet MS" w:cstheme="minorHAnsi"/>
          <w:b/>
          <w:sz w:val="22"/>
          <w:szCs w:val="22"/>
          <w:u w:val="single"/>
          <w:lang w:val="it-IT"/>
        </w:rPr>
      </w:pPr>
      <w:r w:rsidRPr="000742FE">
        <w:rPr>
          <w:rFonts w:ascii="Trebuchet MS" w:eastAsia="Calibri" w:hAnsi="Trebuchet MS" w:cstheme="minorHAnsi"/>
          <w:b/>
          <w:sz w:val="22"/>
          <w:szCs w:val="22"/>
          <w:u w:val="single"/>
          <w:lang w:val="it-IT"/>
        </w:rPr>
        <w:t>Nivolumab</w:t>
      </w:r>
    </w:p>
    <w:p w14:paraId="28238268" w14:textId="10FB4EE5" w:rsidR="005F4E9A" w:rsidRPr="000742FE" w:rsidRDefault="005F4E9A" w:rsidP="00B85040">
      <w:pPr>
        <w:spacing w:line="360" w:lineRule="auto"/>
        <w:ind w:firstLine="567"/>
        <w:contextualSpacing/>
        <w:jc w:val="both"/>
        <w:rPr>
          <w:rFonts w:ascii="Trebuchet MS" w:eastAsia="Calibri" w:hAnsi="Trebuchet MS" w:cstheme="minorHAnsi"/>
          <w:iCs/>
          <w:sz w:val="22"/>
          <w:szCs w:val="22"/>
          <w:lang w:val="it-IT"/>
        </w:rPr>
      </w:pPr>
      <w:r w:rsidRPr="000742FE">
        <w:rPr>
          <w:rFonts w:ascii="Trebuchet MS" w:eastAsia="Calibri" w:hAnsi="Trebuchet MS" w:cstheme="minorHAnsi"/>
          <w:iCs/>
          <w:sz w:val="22"/>
          <w:szCs w:val="22"/>
          <w:lang w:val="it-IT"/>
        </w:rPr>
        <w:t>Nivolumab è un inibitore del checkpoint immunitario PD-1</w:t>
      </w:r>
      <w:r w:rsidR="003C5D1D" w:rsidRPr="000742FE">
        <w:rPr>
          <w:rFonts w:ascii="Trebuchet MS" w:eastAsia="Calibri" w:hAnsi="Trebuchet MS" w:cstheme="minorHAnsi"/>
          <w:iCs/>
          <w:sz w:val="22"/>
          <w:szCs w:val="22"/>
          <w:lang w:val="it-IT"/>
        </w:rPr>
        <w:t xml:space="preserve"> (programmed death-1)</w:t>
      </w:r>
      <w:r w:rsidRPr="000742FE">
        <w:rPr>
          <w:rFonts w:ascii="Trebuchet MS" w:eastAsia="Calibri" w:hAnsi="Trebuchet MS" w:cstheme="minorHAnsi"/>
          <w:iCs/>
          <w:sz w:val="22"/>
          <w:szCs w:val="22"/>
          <w:lang w:val="it-IT"/>
        </w:rPr>
        <w:t>, che è stato progettato per potenziare il nostro sistema immunitario al fine di ristabilire la risposta immunitaria anti-tumorale.</w:t>
      </w:r>
      <w:r w:rsidR="00CE00BF">
        <w:rPr>
          <w:rFonts w:ascii="Trebuchet MS" w:eastAsia="Calibri" w:hAnsi="Trebuchet MS" w:cstheme="minorHAnsi"/>
          <w:iCs/>
          <w:sz w:val="22"/>
          <w:szCs w:val="22"/>
          <w:lang w:val="it-IT"/>
        </w:rPr>
        <w:t xml:space="preserve"> </w:t>
      </w:r>
      <w:r w:rsidRPr="000742FE">
        <w:rPr>
          <w:rFonts w:ascii="Trebuchet MS" w:eastAsia="Calibri" w:hAnsi="Trebuchet MS" w:cstheme="minorHAnsi"/>
          <w:iCs/>
          <w:sz w:val="22"/>
          <w:szCs w:val="22"/>
          <w:lang w:val="it-IT"/>
        </w:rPr>
        <w:t xml:space="preserve">Rinforzando il nostro sistema immunitario contro il </w:t>
      </w:r>
      <w:r w:rsidR="00F82C41" w:rsidRPr="000742FE">
        <w:rPr>
          <w:rFonts w:ascii="Trebuchet MS" w:eastAsia="Calibri" w:hAnsi="Trebuchet MS" w:cstheme="minorHAnsi"/>
          <w:iCs/>
          <w:sz w:val="22"/>
          <w:szCs w:val="22"/>
          <w:lang w:val="it-IT"/>
        </w:rPr>
        <w:t>tumore</w:t>
      </w:r>
      <w:r w:rsidRPr="000742FE">
        <w:rPr>
          <w:rFonts w:ascii="Trebuchet MS" w:eastAsia="Calibri" w:hAnsi="Trebuchet MS" w:cstheme="minorHAnsi"/>
          <w:iCs/>
          <w:sz w:val="22"/>
          <w:szCs w:val="22"/>
          <w:lang w:val="it-IT"/>
        </w:rPr>
        <w:t>, nivolumab è divenuto un’importante opzione di trattamento per molti tipi di tumore.</w:t>
      </w:r>
    </w:p>
    <w:p w14:paraId="754EAA24" w14:textId="5B5A6053" w:rsidR="005F4E9A" w:rsidRPr="000742FE" w:rsidRDefault="005F4E9A" w:rsidP="00B85040">
      <w:pPr>
        <w:spacing w:line="360" w:lineRule="auto"/>
        <w:ind w:firstLine="567"/>
        <w:contextualSpacing/>
        <w:jc w:val="both"/>
        <w:rPr>
          <w:rFonts w:ascii="Trebuchet MS" w:eastAsia="Calibri" w:hAnsi="Trebuchet MS" w:cstheme="minorHAnsi"/>
          <w:sz w:val="22"/>
          <w:szCs w:val="22"/>
          <w:lang w:val="it-IT"/>
        </w:rPr>
      </w:pPr>
      <w:r w:rsidRPr="000742FE">
        <w:rPr>
          <w:rFonts w:ascii="Trebuchet MS" w:eastAsia="Calibri" w:hAnsi="Trebuchet MS" w:cstheme="minorHAnsi"/>
          <w:sz w:val="22"/>
          <w:szCs w:val="22"/>
          <w:lang w:val="it-IT"/>
        </w:rPr>
        <w:t>Il programma globale di sviluppo di nivolumab si basa sulle conoscenze scientifiche di Bristol</w:t>
      </w:r>
      <w:r w:rsidR="000B749A" w:rsidRPr="000742FE">
        <w:rPr>
          <w:rFonts w:ascii="Trebuchet MS" w:eastAsia="Calibri" w:hAnsi="Trebuchet MS" w:cstheme="minorHAnsi"/>
          <w:sz w:val="22"/>
          <w:szCs w:val="22"/>
          <w:lang w:val="it-IT"/>
        </w:rPr>
        <w:t xml:space="preserve"> </w:t>
      </w:r>
      <w:r w:rsidRPr="000742FE">
        <w:rPr>
          <w:rFonts w:ascii="Trebuchet MS" w:eastAsia="Calibri" w:hAnsi="Trebuchet MS" w:cstheme="minorHAnsi"/>
          <w:sz w:val="22"/>
          <w:szCs w:val="22"/>
          <w:lang w:val="it-IT"/>
        </w:rPr>
        <w:t xml:space="preserve">Myers Squibb nel campo dell’immuno-oncologia e include un’ampia gamma di studi clinici in tutte le fasi della sperimentazione, compresa la fase 3, in molti tipi di tumori. Ad oggi, nel programma di sviluppo clinico di nivolumab sono stati arruolati più di 35.000 pazienti. </w:t>
      </w:r>
      <w:r w:rsidRPr="000742FE">
        <w:rPr>
          <w:rFonts w:ascii="Trebuchet MS" w:eastAsia="Calibri" w:hAnsi="Trebuchet MS" w:cstheme="minorHAnsi"/>
          <w:sz w:val="22"/>
          <w:szCs w:val="22"/>
          <w:lang w:val="it-IT"/>
        </w:rPr>
        <w:lastRenderedPageBreak/>
        <w:t xml:space="preserve">Gli studi clinici con nivolumab hanno contribuito ad approfondire le conoscenze sul potenziale ruolo dei biomarcatori nella cura dei pazienti, in particolare nel modo in cui essi possano beneficiare di nivolumab trasversalmente ai </w:t>
      </w:r>
      <w:r w:rsidRPr="000742FE">
        <w:rPr>
          <w:rFonts w:ascii="Trebuchet MS" w:eastAsia="Times New Roman" w:hAnsi="Trebuchet MS" w:cstheme="minorHAnsi"/>
          <w:iCs/>
          <w:sz w:val="22"/>
          <w:szCs w:val="22"/>
          <w:lang w:val="it-IT"/>
        </w:rPr>
        <w:t>livelli di espressione di PD-L1.</w:t>
      </w:r>
    </w:p>
    <w:p w14:paraId="65E22987" w14:textId="1A639FC5" w:rsidR="005F4E9A" w:rsidRPr="000742FE" w:rsidRDefault="005F4E9A" w:rsidP="00B85040">
      <w:pPr>
        <w:spacing w:line="360" w:lineRule="auto"/>
        <w:ind w:firstLine="567"/>
        <w:contextualSpacing/>
        <w:jc w:val="both"/>
        <w:rPr>
          <w:rFonts w:ascii="Trebuchet MS" w:eastAsia="Calibri" w:hAnsi="Trebuchet MS" w:cstheme="minorHAnsi"/>
          <w:sz w:val="22"/>
          <w:szCs w:val="22"/>
          <w:lang w:val="it-IT"/>
        </w:rPr>
      </w:pPr>
      <w:r w:rsidRPr="000742FE">
        <w:rPr>
          <w:rFonts w:ascii="Trebuchet MS" w:eastAsia="Calibri" w:hAnsi="Trebuchet MS" w:cstheme="minorHAnsi"/>
          <w:sz w:val="22"/>
          <w:szCs w:val="22"/>
          <w:lang w:val="it-IT"/>
        </w:rPr>
        <w:t xml:space="preserve">A luglio 2014, nivolumab è stato il primo inibitore del checkpoint immunitario PD-1 al mondo ad aver ottenuto l’approvazione dalle Autorità Regolatorie. Attualmente è approvato in più di 65 Paesi, inclusi gli Stati Uniti, l’Unione Europea, il Giappone e la Cina. A ottobre 2015, </w:t>
      </w:r>
      <w:r w:rsidR="003C5D1D" w:rsidRPr="000742FE">
        <w:rPr>
          <w:rFonts w:ascii="Trebuchet MS" w:eastAsia="Calibri" w:hAnsi="Trebuchet MS" w:cstheme="minorHAnsi"/>
          <w:sz w:val="22"/>
          <w:szCs w:val="22"/>
          <w:lang w:val="it-IT"/>
        </w:rPr>
        <w:t>l’associazione</w:t>
      </w:r>
      <w:r w:rsidRPr="000742FE">
        <w:rPr>
          <w:rFonts w:ascii="Trebuchet MS" w:eastAsia="Calibri" w:hAnsi="Trebuchet MS" w:cstheme="minorHAnsi"/>
          <w:sz w:val="22"/>
          <w:szCs w:val="22"/>
          <w:lang w:val="it-IT"/>
        </w:rPr>
        <w:t xml:space="preserve"> di nivolumab e ipilimumab è stat</w:t>
      </w:r>
      <w:r w:rsidR="003C5D1D" w:rsidRPr="000742FE">
        <w:rPr>
          <w:rFonts w:ascii="Trebuchet MS" w:eastAsia="Calibri" w:hAnsi="Trebuchet MS" w:cstheme="minorHAnsi"/>
          <w:sz w:val="22"/>
          <w:szCs w:val="22"/>
          <w:lang w:val="it-IT"/>
        </w:rPr>
        <w:t>a</w:t>
      </w:r>
      <w:r w:rsidRPr="000742FE">
        <w:rPr>
          <w:rFonts w:ascii="Trebuchet MS" w:eastAsia="Calibri" w:hAnsi="Trebuchet MS" w:cstheme="minorHAnsi"/>
          <w:sz w:val="22"/>
          <w:szCs w:val="22"/>
          <w:lang w:val="it-IT"/>
        </w:rPr>
        <w:t xml:space="preserve"> il primo regime in campo immuno-oncologico a ricevere l’approvazione dalle Autorità Regolatorie per il trattamento del melanoma metastatico</w:t>
      </w:r>
      <w:r w:rsidR="003C5D1D" w:rsidRPr="000742FE">
        <w:rPr>
          <w:rFonts w:ascii="Trebuchet MS" w:eastAsia="Calibri" w:hAnsi="Trebuchet MS" w:cstheme="minorHAnsi"/>
          <w:sz w:val="22"/>
          <w:szCs w:val="22"/>
          <w:lang w:val="it-IT"/>
        </w:rPr>
        <w:t>,</w:t>
      </w:r>
      <w:r w:rsidRPr="000742FE">
        <w:rPr>
          <w:rFonts w:ascii="Trebuchet MS" w:eastAsia="Calibri" w:hAnsi="Trebuchet MS" w:cstheme="minorHAnsi"/>
          <w:sz w:val="22"/>
          <w:szCs w:val="22"/>
          <w:lang w:val="it-IT"/>
        </w:rPr>
        <w:t xml:space="preserve"> ed è attualmente approvata in più di 50 Paesi, inclusi gli Stati Uniti e l’Unione Europea.</w:t>
      </w:r>
    </w:p>
    <w:p w14:paraId="30600306" w14:textId="77777777" w:rsidR="005F4E9A" w:rsidRPr="000742FE" w:rsidRDefault="005F4E9A" w:rsidP="00B85040">
      <w:pPr>
        <w:spacing w:line="360" w:lineRule="auto"/>
        <w:ind w:firstLine="567"/>
        <w:jc w:val="both"/>
        <w:rPr>
          <w:rFonts w:ascii="Trebuchet MS" w:eastAsia="Calibri" w:hAnsi="Trebuchet MS" w:cstheme="minorHAnsi"/>
          <w:sz w:val="22"/>
          <w:szCs w:val="22"/>
          <w:lang w:val="it-IT"/>
        </w:rPr>
      </w:pPr>
    </w:p>
    <w:p w14:paraId="6E60D4FE" w14:textId="77777777" w:rsidR="005F4E9A" w:rsidRPr="000742FE" w:rsidRDefault="005F4E9A" w:rsidP="00B85040">
      <w:pPr>
        <w:spacing w:line="360" w:lineRule="auto"/>
        <w:jc w:val="both"/>
        <w:rPr>
          <w:rFonts w:ascii="Trebuchet MS" w:eastAsia="Times New Roman" w:hAnsi="Trebuchet MS" w:cstheme="minorHAnsi"/>
          <w:b/>
          <w:bCs/>
          <w:i/>
          <w:sz w:val="22"/>
          <w:szCs w:val="22"/>
          <w:u w:val="single"/>
          <w:lang w:val="it-IT"/>
        </w:rPr>
      </w:pPr>
      <w:r w:rsidRPr="000742FE">
        <w:rPr>
          <w:rFonts w:ascii="Trebuchet MS" w:eastAsia="Times New Roman" w:hAnsi="Trebuchet MS" w:cstheme="minorHAnsi"/>
          <w:b/>
          <w:bCs/>
          <w:sz w:val="22"/>
          <w:szCs w:val="22"/>
          <w:u w:val="single"/>
          <w:lang w:val="it-IT"/>
        </w:rPr>
        <w:t>Ipilimumab</w:t>
      </w:r>
    </w:p>
    <w:p w14:paraId="13D80FFC" w14:textId="77743861" w:rsidR="005F4E9A" w:rsidRPr="000742FE" w:rsidRDefault="005F4E9A" w:rsidP="00B85040">
      <w:pPr>
        <w:widowControl w:val="0"/>
        <w:autoSpaceDE w:val="0"/>
        <w:autoSpaceDN w:val="0"/>
        <w:spacing w:line="360" w:lineRule="auto"/>
        <w:ind w:firstLine="567"/>
        <w:jc w:val="both"/>
        <w:rPr>
          <w:rFonts w:ascii="Trebuchet MS" w:eastAsia="Times New Roman" w:hAnsi="Trebuchet MS" w:cstheme="minorHAnsi"/>
          <w:iCs/>
          <w:sz w:val="22"/>
          <w:szCs w:val="22"/>
          <w:lang w:val="it-IT"/>
        </w:rPr>
      </w:pPr>
      <w:r w:rsidRPr="000742FE">
        <w:rPr>
          <w:rFonts w:ascii="Trebuchet MS" w:eastAsia="Times New Roman" w:hAnsi="Trebuchet MS" w:cstheme="minorHAnsi"/>
          <w:iCs/>
          <w:sz w:val="22"/>
          <w:szCs w:val="22"/>
          <w:lang w:val="it-IT"/>
        </w:rPr>
        <w:t xml:space="preserve">Ipilimumab è un anticorpo monoclonale ricombinante umano, che si lega a CTLA-4 (cytotoxic T-lymphocyte-associated antigen-4). CTLA-4 è un regolatore negativo dell’attività delle cellule T. Ipilimumab si lega a CTLA-4 e blocca l’interazione di CTLA-4 con i suoi ligandi, CD80/CD86. È dimostrato che il blocco di CTLA-4 aumenta l’attivazione e la proliferazione delle cellule T, comprese le cellule T effettrici infiltranti il tumore. L’inibizione del segnale CTLA-4 può anche ridurre la funzione delle cellule T regolatorie, che può contribuire a sua volta a un generale aumento della risposta delle cellule T, tra cui anche la risposta immune anti-tumorale. Il 25 marzo 2011, la Food and Drug Administration (FDA) statunitense ha approvato ipilimumab 3 mg/kg </w:t>
      </w:r>
      <w:r w:rsidR="0051449A" w:rsidRPr="000742FE">
        <w:rPr>
          <w:rFonts w:ascii="Trebuchet MS" w:eastAsia="Times New Roman" w:hAnsi="Trebuchet MS" w:cstheme="minorHAnsi"/>
          <w:iCs/>
          <w:sz w:val="22"/>
          <w:szCs w:val="22"/>
          <w:lang w:val="it-IT"/>
        </w:rPr>
        <w:t xml:space="preserve">in monoterapia </w:t>
      </w:r>
      <w:r w:rsidRPr="000742FE">
        <w:rPr>
          <w:rFonts w:ascii="Trebuchet MS" w:eastAsia="Times New Roman" w:hAnsi="Trebuchet MS" w:cstheme="minorHAnsi"/>
          <w:iCs/>
          <w:sz w:val="22"/>
          <w:szCs w:val="22"/>
          <w:lang w:val="it-IT"/>
        </w:rPr>
        <w:t xml:space="preserve">per i pazienti con melanoma non </w:t>
      </w:r>
      <w:r w:rsidR="0051449A" w:rsidRPr="000742FE">
        <w:rPr>
          <w:rFonts w:ascii="Trebuchet MS" w:eastAsia="Times New Roman" w:hAnsi="Trebuchet MS" w:cstheme="minorHAnsi"/>
          <w:iCs/>
          <w:sz w:val="22"/>
          <w:szCs w:val="22"/>
          <w:lang w:val="it-IT"/>
        </w:rPr>
        <w:t xml:space="preserve">resecabile </w:t>
      </w:r>
      <w:r w:rsidRPr="000742FE">
        <w:rPr>
          <w:rFonts w:ascii="Trebuchet MS" w:eastAsia="Times New Roman" w:hAnsi="Trebuchet MS" w:cstheme="minorHAnsi"/>
          <w:iCs/>
          <w:sz w:val="22"/>
          <w:szCs w:val="22"/>
          <w:lang w:val="it-IT"/>
        </w:rPr>
        <w:t>o metastatico. Ipilimumab è approvato per quest</w:t>
      </w:r>
      <w:r w:rsidR="00476F5F" w:rsidRPr="000742FE">
        <w:rPr>
          <w:rFonts w:ascii="Trebuchet MS" w:eastAsia="Times New Roman" w:hAnsi="Trebuchet MS" w:cstheme="minorHAnsi"/>
          <w:iCs/>
          <w:sz w:val="22"/>
          <w:szCs w:val="22"/>
          <w:lang w:val="it-IT"/>
        </w:rPr>
        <w:t>a</w:t>
      </w:r>
      <w:r w:rsidRPr="000742FE">
        <w:rPr>
          <w:rFonts w:ascii="Trebuchet MS" w:eastAsia="Times New Roman" w:hAnsi="Trebuchet MS" w:cstheme="minorHAnsi"/>
          <w:iCs/>
          <w:sz w:val="22"/>
          <w:szCs w:val="22"/>
          <w:lang w:val="it-IT"/>
        </w:rPr>
        <w:t xml:space="preserve"> stess</w:t>
      </w:r>
      <w:r w:rsidR="00476F5F" w:rsidRPr="000742FE">
        <w:rPr>
          <w:rFonts w:ascii="Trebuchet MS" w:eastAsia="Times New Roman" w:hAnsi="Trebuchet MS" w:cstheme="minorHAnsi"/>
          <w:iCs/>
          <w:sz w:val="22"/>
          <w:szCs w:val="22"/>
          <w:lang w:val="it-IT"/>
        </w:rPr>
        <w:t>a</w:t>
      </w:r>
      <w:r w:rsidRPr="000742FE">
        <w:rPr>
          <w:rFonts w:ascii="Trebuchet MS" w:eastAsia="Times New Roman" w:hAnsi="Trebuchet MS" w:cstheme="minorHAnsi"/>
          <w:iCs/>
          <w:sz w:val="22"/>
          <w:szCs w:val="22"/>
          <w:lang w:val="it-IT"/>
        </w:rPr>
        <w:t xml:space="preserve"> indicazion</w:t>
      </w:r>
      <w:r w:rsidR="00476F5F" w:rsidRPr="000742FE">
        <w:rPr>
          <w:rFonts w:ascii="Trebuchet MS" w:eastAsia="Times New Roman" w:hAnsi="Trebuchet MS" w:cstheme="minorHAnsi"/>
          <w:iCs/>
          <w:sz w:val="22"/>
          <w:szCs w:val="22"/>
          <w:lang w:val="it-IT"/>
        </w:rPr>
        <w:t>e</w:t>
      </w:r>
      <w:r w:rsidRPr="000742FE">
        <w:rPr>
          <w:rFonts w:ascii="Trebuchet MS" w:eastAsia="Times New Roman" w:hAnsi="Trebuchet MS" w:cstheme="minorHAnsi"/>
          <w:iCs/>
          <w:sz w:val="22"/>
          <w:szCs w:val="22"/>
          <w:lang w:val="it-IT"/>
        </w:rPr>
        <w:t xml:space="preserve"> in più di 50 Paesi. Esiste un ampio programma di sviluppo, attualmente in corso, per ipilimumab in molteplici forme tumorali. </w:t>
      </w:r>
    </w:p>
    <w:p w14:paraId="62E9E5D3" w14:textId="77777777" w:rsidR="008F761B" w:rsidRPr="000742FE" w:rsidRDefault="008F761B" w:rsidP="00B85040">
      <w:pPr>
        <w:widowControl w:val="0"/>
        <w:autoSpaceDE w:val="0"/>
        <w:autoSpaceDN w:val="0"/>
        <w:spacing w:line="360" w:lineRule="auto"/>
        <w:jc w:val="both"/>
        <w:rPr>
          <w:rFonts w:ascii="Trebuchet MS" w:eastAsia="Times New Roman" w:hAnsi="Trebuchet MS" w:cstheme="minorHAnsi"/>
          <w:iCs/>
          <w:sz w:val="22"/>
          <w:szCs w:val="22"/>
          <w:lang w:val="it-IT"/>
        </w:rPr>
      </w:pPr>
    </w:p>
    <w:p w14:paraId="4222C118" w14:textId="3B04EA9D" w:rsidR="000317DC" w:rsidRPr="000742FE" w:rsidRDefault="000317DC" w:rsidP="00B85040">
      <w:pPr>
        <w:spacing w:line="360" w:lineRule="auto"/>
        <w:jc w:val="both"/>
        <w:rPr>
          <w:rFonts w:ascii="Trebuchet MS" w:eastAsia="Times New Roman" w:hAnsi="Trebuchet MS" w:cstheme="minorHAnsi"/>
          <w:sz w:val="22"/>
          <w:szCs w:val="22"/>
          <w:lang w:val="it-IT"/>
        </w:rPr>
      </w:pPr>
      <w:r w:rsidRPr="000742FE">
        <w:rPr>
          <w:rFonts w:ascii="Trebuchet MS" w:eastAsia="Times New Roman" w:hAnsi="Trebuchet MS" w:cstheme="minorHAnsi"/>
          <w:b/>
          <w:bCs/>
          <w:sz w:val="22"/>
          <w:szCs w:val="22"/>
          <w:u w:val="single"/>
          <w:lang w:val="it-IT"/>
        </w:rPr>
        <w:t>Bristol</w:t>
      </w:r>
      <w:r w:rsidR="007217D1" w:rsidRPr="000742FE">
        <w:rPr>
          <w:rFonts w:ascii="Trebuchet MS" w:eastAsia="Times New Roman" w:hAnsi="Trebuchet MS" w:cstheme="minorHAnsi"/>
          <w:b/>
          <w:bCs/>
          <w:sz w:val="22"/>
          <w:szCs w:val="22"/>
          <w:u w:val="single"/>
          <w:lang w:val="it-IT"/>
        </w:rPr>
        <w:t xml:space="preserve"> </w:t>
      </w:r>
      <w:r w:rsidRPr="000742FE">
        <w:rPr>
          <w:rFonts w:ascii="Trebuchet MS" w:eastAsia="Times New Roman" w:hAnsi="Trebuchet MS" w:cstheme="minorHAnsi"/>
          <w:b/>
          <w:bCs/>
          <w:sz w:val="22"/>
          <w:szCs w:val="22"/>
          <w:u w:val="single"/>
          <w:lang w:val="it-IT"/>
        </w:rPr>
        <w:t>Myers Squibb e la collaborazione con Ono Pharmaceutical</w:t>
      </w:r>
    </w:p>
    <w:p w14:paraId="4A568FB5" w14:textId="6731977E" w:rsidR="000317DC" w:rsidRPr="000742FE" w:rsidRDefault="000317DC" w:rsidP="00B85040">
      <w:pPr>
        <w:spacing w:line="360" w:lineRule="auto"/>
        <w:ind w:firstLine="567"/>
        <w:jc w:val="both"/>
        <w:rPr>
          <w:rFonts w:ascii="Trebuchet MS" w:eastAsia="Times New Roman" w:hAnsi="Trebuchet MS" w:cstheme="minorHAnsi"/>
          <w:sz w:val="22"/>
          <w:szCs w:val="22"/>
          <w:lang w:val="it-IT"/>
        </w:rPr>
      </w:pPr>
      <w:r w:rsidRPr="000742FE">
        <w:rPr>
          <w:rFonts w:ascii="Trebuchet MS" w:eastAsia="Times New Roman" w:hAnsi="Trebuchet MS" w:cstheme="minorHAnsi"/>
          <w:sz w:val="22"/>
          <w:szCs w:val="22"/>
          <w:lang w:val="it-IT"/>
        </w:rPr>
        <w:t>Nel 2011, grazie a un accordo di collaborazione con Ono Pharmaceutical Co., Bristol</w:t>
      </w:r>
      <w:r w:rsidR="007217D1" w:rsidRPr="000742FE">
        <w:rPr>
          <w:rFonts w:ascii="Trebuchet MS" w:eastAsia="Times New Roman" w:hAnsi="Trebuchet MS" w:cstheme="minorHAnsi"/>
          <w:sz w:val="22"/>
          <w:szCs w:val="22"/>
          <w:lang w:val="it-IT"/>
        </w:rPr>
        <w:t xml:space="preserve"> </w:t>
      </w:r>
      <w:r w:rsidRPr="000742FE">
        <w:rPr>
          <w:rFonts w:ascii="Trebuchet MS" w:eastAsia="Times New Roman" w:hAnsi="Trebuchet MS" w:cstheme="minorHAnsi"/>
          <w:sz w:val="22"/>
          <w:szCs w:val="22"/>
          <w:lang w:val="it-IT"/>
        </w:rPr>
        <w:t>Myers Squibb ha esteso i diritti di sviluppo e commercializzazione di nivolumab in tutto il mondo esclusi Giappone, Corea del Sud e Taiwan, dove Ono mantiene tutti i diritti sul farmaco. Il 23 luglio 2014, Bristol</w:t>
      </w:r>
      <w:r w:rsidR="007217D1" w:rsidRPr="000742FE">
        <w:rPr>
          <w:rFonts w:ascii="Trebuchet MS" w:eastAsia="Times New Roman" w:hAnsi="Trebuchet MS" w:cstheme="minorHAnsi"/>
          <w:sz w:val="22"/>
          <w:szCs w:val="22"/>
          <w:lang w:val="it-IT"/>
        </w:rPr>
        <w:t xml:space="preserve"> </w:t>
      </w:r>
      <w:r w:rsidRPr="000742FE">
        <w:rPr>
          <w:rFonts w:ascii="Trebuchet MS" w:eastAsia="Times New Roman" w:hAnsi="Trebuchet MS" w:cstheme="minorHAnsi"/>
          <w:sz w:val="22"/>
          <w:szCs w:val="22"/>
          <w:lang w:val="it-IT"/>
        </w:rPr>
        <w:t xml:space="preserve">Myers Squibb e Ono hanno ulteriormente ampliato l’accordo di collaborazione strategica per sviluppare e commercializzare congiuntamente molteplici immunoterapie - sia come singoli farmaci che come regimi di </w:t>
      </w:r>
      <w:r w:rsidR="00D824A2" w:rsidRPr="000742FE">
        <w:rPr>
          <w:rFonts w:ascii="Trebuchet MS" w:eastAsia="Times New Roman" w:hAnsi="Trebuchet MS" w:cstheme="minorHAnsi"/>
          <w:sz w:val="22"/>
          <w:szCs w:val="22"/>
          <w:lang w:val="it-IT"/>
        </w:rPr>
        <w:t xml:space="preserve">associazione </w:t>
      </w:r>
      <w:r w:rsidRPr="000742FE">
        <w:rPr>
          <w:rFonts w:ascii="Trebuchet MS" w:eastAsia="Times New Roman" w:hAnsi="Trebuchet MS" w:cstheme="minorHAnsi"/>
          <w:sz w:val="22"/>
          <w:szCs w:val="22"/>
          <w:lang w:val="it-IT"/>
        </w:rPr>
        <w:t xml:space="preserve">- per il trattamento dei pazienti </w:t>
      </w:r>
      <w:r w:rsidR="00D824A2" w:rsidRPr="000742FE">
        <w:rPr>
          <w:rFonts w:ascii="Trebuchet MS" w:eastAsia="Times New Roman" w:hAnsi="Trebuchet MS" w:cstheme="minorHAnsi"/>
          <w:sz w:val="22"/>
          <w:szCs w:val="22"/>
          <w:lang w:val="it-IT"/>
        </w:rPr>
        <w:t xml:space="preserve">affetti da tumore </w:t>
      </w:r>
      <w:r w:rsidRPr="000742FE">
        <w:rPr>
          <w:rFonts w:ascii="Trebuchet MS" w:eastAsia="Times New Roman" w:hAnsi="Trebuchet MS" w:cstheme="minorHAnsi"/>
          <w:sz w:val="22"/>
          <w:szCs w:val="22"/>
          <w:lang w:val="it-IT"/>
        </w:rPr>
        <w:t>in Giappone, Corea del Sud e Taiwan.</w:t>
      </w:r>
    </w:p>
    <w:p w14:paraId="75D3F25C" w14:textId="77777777" w:rsidR="000317DC" w:rsidRPr="000742FE" w:rsidRDefault="000317DC" w:rsidP="00B85040">
      <w:pPr>
        <w:spacing w:line="360" w:lineRule="auto"/>
        <w:ind w:firstLine="567"/>
        <w:jc w:val="both"/>
        <w:rPr>
          <w:rStyle w:val="bwuline"/>
          <w:rFonts w:ascii="Trebuchet MS" w:hAnsi="Trebuchet MS" w:cstheme="minorHAnsi"/>
          <w:sz w:val="22"/>
          <w:szCs w:val="22"/>
          <w:lang w:val="it-IT"/>
        </w:rPr>
      </w:pPr>
    </w:p>
    <w:p w14:paraId="5F05AAEE" w14:textId="7862DC39" w:rsidR="000317DC" w:rsidRPr="000742FE" w:rsidRDefault="000317DC" w:rsidP="00B85040">
      <w:pPr>
        <w:spacing w:line="360" w:lineRule="auto"/>
        <w:jc w:val="both"/>
        <w:rPr>
          <w:rFonts w:ascii="Trebuchet MS" w:eastAsia="Times New Roman" w:hAnsi="Trebuchet MS" w:cstheme="minorHAnsi"/>
          <w:b/>
          <w:bCs/>
          <w:sz w:val="22"/>
          <w:szCs w:val="22"/>
          <w:u w:val="single"/>
          <w:lang w:val="it-IT"/>
        </w:rPr>
      </w:pPr>
      <w:r w:rsidRPr="000742FE">
        <w:rPr>
          <w:rFonts w:ascii="Trebuchet MS" w:eastAsia="Times New Roman" w:hAnsi="Trebuchet MS" w:cstheme="minorHAnsi"/>
          <w:b/>
          <w:bCs/>
          <w:sz w:val="22"/>
          <w:szCs w:val="22"/>
          <w:u w:val="single"/>
          <w:lang w:val="it-IT"/>
        </w:rPr>
        <w:t>Bristol</w:t>
      </w:r>
      <w:r w:rsidR="00B85040" w:rsidRPr="000742FE">
        <w:rPr>
          <w:rFonts w:ascii="Trebuchet MS" w:eastAsia="Times New Roman" w:hAnsi="Trebuchet MS" w:cstheme="minorHAnsi"/>
          <w:b/>
          <w:bCs/>
          <w:sz w:val="22"/>
          <w:szCs w:val="22"/>
          <w:u w:val="single"/>
          <w:lang w:val="it-IT"/>
        </w:rPr>
        <w:t xml:space="preserve"> </w:t>
      </w:r>
      <w:r w:rsidRPr="000742FE">
        <w:rPr>
          <w:rFonts w:ascii="Trebuchet MS" w:eastAsia="Times New Roman" w:hAnsi="Trebuchet MS" w:cstheme="minorHAnsi"/>
          <w:b/>
          <w:bCs/>
          <w:sz w:val="22"/>
          <w:szCs w:val="22"/>
          <w:u w:val="single"/>
          <w:lang w:val="it-IT"/>
        </w:rPr>
        <w:t>Myers Squibb</w:t>
      </w:r>
    </w:p>
    <w:p w14:paraId="00CFC8B2" w14:textId="368DFBB7" w:rsidR="00477461" w:rsidRPr="000742FE" w:rsidRDefault="000317DC" w:rsidP="00477461">
      <w:pPr>
        <w:spacing w:line="360" w:lineRule="auto"/>
        <w:ind w:firstLine="567"/>
        <w:jc w:val="both"/>
        <w:rPr>
          <w:rFonts w:ascii="Trebuchet MS" w:eastAsia="Times New Roman" w:hAnsi="Trebuchet MS" w:cstheme="minorHAnsi"/>
          <w:sz w:val="22"/>
          <w:szCs w:val="22"/>
          <w:lang w:val="it-IT"/>
        </w:rPr>
      </w:pPr>
      <w:r w:rsidRPr="000742FE">
        <w:rPr>
          <w:rFonts w:ascii="Trebuchet MS" w:eastAsia="Calibri" w:hAnsi="Trebuchet MS" w:cstheme="minorHAnsi"/>
          <w:sz w:val="22"/>
          <w:szCs w:val="22"/>
          <w:lang w:val="it-IT"/>
        </w:rPr>
        <w:lastRenderedPageBreak/>
        <w:t>Bristol</w:t>
      </w:r>
      <w:r w:rsidR="00B85040" w:rsidRPr="000742FE">
        <w:rPr>
          <w:rFonts w:ascii="Trebuchet MS" w:eastAsia="Calibri" w:hAnsi="Trebuchet MS" w:cstheme="minorHAnsi"/>
          <w:sz w:val="22"/>
          <w:szCs w:val="22"/>
          <w:lang w:val="it-IT"/>
        </w:rPr>
        <w:t xml:space="preserve"> </w:t>
      </w:r>
      <w:r w:rsidRPr="000742FE">
        <w:rPr>
          <w:rFonts w:ascii="Trebuchet MS" w:eastAsia="Calibri" w:hAnsi="Trebuchet MS" w:cstheme="minorHAnsi"/>
          <w:sz w:val="22"/>
          <w:szCs w:val="22"/>
          <w:lang w:val="it-IT"/>
        </w:rPr>
        <w:t xml:space="preserve">Myers Squibb è un’azienda bio-farmaceutica globale, la cui mission è scoprire, sviluppare e rendere disponibili farmaci innovativi che aiutino i pazienti a combattere gravi malattie. </w:t>
      </w:r>
      <w:r w:rsidRPr="000742FE">
        <w:rPr>
          <w:rFonts w:ascii="Trebuchet MS" w:eastAsia="Times New Roman" w:hAnsi="Trebuchet MS" w:cstheme="minorHAnsi"/>
          <w:sz w:val="22"/>
          <w:szCs w:val="22"/>
          <w:lang w:val="it-IT"/>
        </w:rPr>
        <w:t>Maggiori informazioni sono disponibili su</w:t>
      </w:r>
      <w:r w:rsidR="009E16F2" w:rsidRPr="000742FE">
        <w:rPr>
          <w:rFonts w:ascii="Trebuchet MS" w:eastAsia="Times New Roman" w:hAnsi="Trebuchet MS" w:cstheme="minorHAnsi"/>
          <w:sz w:val="22"/>
          <w:szCs w:val="22"/>
          <w:lang w:val="it-IT"/>
        </w:rPr>
        <w:t>l</w:t>
      </w:r>
      <w:r w:rsidRPr="000742FE">
        <w:rPr>
          <w:rFonts w:ascii="Trebuchet MS" w:eastAsia="Times New Roman" w:hAnsi="Trebuchet MS" w:cstheme="minorHAnsi"/>
          <w:sz w:val="22"/>
          <w:szCs w:val="22"/>
          <w:lang w:val="it-IT"/>
        </w:rPr>
        <w:t xml:space="preserve"> sit</w:t>
      </w:r>
      <w:r w:rsidR="009E16F2" w:rsidRPr="000742FE">
        <w:rPr>
          <w:rFonts w:ascii="Trebuchet MS" w:eastAsia="Times New Roman" w:hAnsi="Trebuchet MS" w:cstheme="minorHAnsi"/>
          <w:sz w:val="22"/>
          <w:szCs w:val="22"/>
          <w:lang w:val="it-IT"/>
        </w:rPr>
        <w:t>o</w:t>
      </w:r>
      <w:r w:rsidRPr="000742FE">
        <w:rPr>
          <w:rFonts w:ascii="Trebuchet MS" w:eastAsia="Times New Roman" w:hAnsi="Trebuchet MS" w:cstheme="minorHAnsi"/>
          <w:sz w:val="22"/>
          <w:szCs w:val="22"/>
          <w:lang w:val="it-IT"/>
        </w:rPr>
        <w:t xml:space="preserve"> </w:t>
      </w:r>
      <w:r w:rsidR="00477461">
        <w:rPr>
          <w:rFonts w:ascii="Trebuchet MS" w:eastAsia="Times New Roman" w:hAnsi="Trebuchet MS" w:cstheme="minorHAnsi"/>
          <w:sz w:val="22"/>
          <w:szCs w:val="22"/>
          <w:lang w:val="it-IT"/>
        </w:rPr>
        <w:t>www.bms.com.</w:t>
      </w:r>
    </w:p>
    <w:p w14:paraId="53669A0D" w14:textId="00B4AE6A" w:rsidR="000317DC" w:rsidRPr="000742FE" w:rsidRDefault="000317DC" w:rsidP="00B85040">
      <w:pPr>
        <w:spacing w:line="360" w:lineRule="auto"/>
        <w:ind w:firstLine="709"/>
        <w:jc w:val="both"/>
        <w:rPr>
          <w:rFonts w:ascii="Trebuchet MS" w:eastAsia="Calibri" w:hAnsi="Trebuchet MS" w:cstheme="minorHAnsi"/>
          <w:iCs/>
          <w:sz w:val="22"/>
          <w:szCs w:val="22"/>
          <w:lang w:val="it-IT"/>
        </w:rPr>
      </w:pPr>
      <w:r w:rsidRPr="000742FE">
        <w:rPr>
          <w:rFonts w:ascii="Trebuchet MS" w:eastAsia="Calibri" w:hAnsi="Trebuchet MS" w:cstheme="minorHAnsi"/>
          <w:iCs/>
          <w:sz w:val="22"/>
          <w:szCs w:val="22"/>
          <w:lang w:val="it-IT"/>
        </w:rPr>
        <w:t>Celgene e Juno</w:t>
      </w:r>
      <w:r w:rsidR="00BA17E4" w:rsidRPr="000742FE">
        <w:rPr>
          <w:rFonts w:ascii="Trebuchet MS" w:eastAsia="Calibri" w:hAnsi="Trebuchet MS" w:cstheme="minorHAnsi"/>
          <w:iCs/>
          <w:sz w:val="22"/>
          <w:szCs w:val="22"/>
          <w:lang w:val="it-IT"/>
        </w:rPr>
        <w:t xml:space="preserve"> </w:t>
      </w:r>
      <w:r w:rsidRPr="000742FE">
        <w:rPr>
          <w:rFonts w:ascii="Trebuchet MS" w:eastAsia="Calibri" w:hAnsi="Trebuchet MS" w:cstheme="minorHAnsi"/>
          <w:iCs/>
          <w:sz w:val="22"/>
          <w:szCs w:val="22"/>
          <w:lang w:val="it-IT"/>
        </w:rPr>
        <w:t>Therapeutics sono sussidiari di Bristol-Myers Squibb, che ne detiene la titolarità. In alcuni Paesi fuori dagli Stati Uniti, secondo le legislazioni locali, Celgene e Juno</w:t>
      </w:r>
      <w:r w:rsidR="00BA17E4" w:rsidRPr="000742FE">
        <w:rPr>
          <w:rFonts w:ascii="Trebuchet MS" w:eastAsia="Calibri" w:hAnsi="Trebuchet MS" w:cstheme="minorHAnsi"/>
          <w:iCs/>
          <w:sz w:val="22"/>
          <w:szCs w:val="22"/>
          <w:lang w:val="it-IT"/>
        </w:rPr>
        <w:t xml:space="preserve"> </w:t>
      </w:r>
      <w:r w:rsidRPr="000742FE">
        <w:rPr>
          <w:rFonts w:ascii="Trebuchet MS" w:eastAsia="Calibri" w:hAnsi="Trebuchet MS" w:cstheme="minorHAnsi"/>
          <w:iCs/>
          <w:sz w:val="22"/>
          <w:szCs w:val="22"/>
          <w:lang w:val="it-IT"/>
        </w:rPr>
        <w:t>Therapeutics sono considerate compagnie di Bristol</w:t>
      </w:r>
      <w:r w:rsidR="00477461">
        <w:rPr>
          <w:rFonts w:ascii="Trebuchet MS" w:eastAsia="Calibri" w:hAnsi="Trebuchet MS" w:cstheme="minorHAnsi"/>
          <w:iCs/>
          <w:sz w:val="22"/>
          <w:szCs w:val="22"/>
          <w:lang w:val="it-IT"/>
        </w:rPr>
        <w:t xml:space="preserve"> </w:t>
      </w:r>
      <w:r w:rsidRPr="000742FE">
        <w:rPr>
          <w:rFonts w:ascii="Trebuchet MS" w:eastAsia="Calibri" w:hAnsi="Trebuchet MS" w:cstheme="minorHAnsi"/>
          <w:iCs/>
          <w:sz w:val="22"/>
          <w:szCs w:val="22"/>
          <w:lang w:val="it-IT"/>
        </w:rPr>
        <w:t>Myers Squibb.</w:t>
      </w:r>
    </w:p>
    <w:p w14:paraId="555EA8A1" w14:textId="77777777" w:rsidR="008F761B" w:rsidRPr="000742FE" w:rsidRDefault="008F761B" w:rsidP="008F761B">
      <w:pPr>
        <w:spacing w:line="23" w:lineRule="atLeast"/>
        <w:rPr>
          <w:rFonts w:ascii="Trebuchet MS" w:eastAsia="Times New Roman" w:hAnsi="Trebuchet MS" w:cstheme="minorHAnsi"/>
          <w:b/>
          <w:sz w:val="22"/>
          <w:szCs w:val="22"/>
          <w:lang w:val="it-IT"/>
        </w:rPr>
      </w:pPr>
    </w:p>
    <w:p w14:paraId="2B7812F7" w14:textId="77777777" w:rsidR="008F761B" w:rsidRPr="000742FE" w:rsidRDefault="008F761B" w:rsidP="008F761B">
      <w:pPr>
        <w:rPr>
          <w:rFonts w:ascii="Trebuchet MS" w:eastAsia="Times New Roman" w:hAnsi="Trebuchet MS" w:cstheme="minorHAnsi"/>
          <w:b/>
          <w:sz w:val="22"/>
          <w:szCs w:val="22"/>
          <w:lang w:val="it-IT"/>
        </w:rPr>
      </w:pPr>
      <w:bookmarkStart w:id="3" w:name="_Hlk34737450"/>
      <w:r w:rsidRPr="000742FE">
        <w:rPr>
          <w:rFonts w:ascii="Trebuchet MS" w:eastAsia="Times New Roman" w:hAnsi="Trebuchet MS" w:cstheme="minorHAnsi"/>
          <w:b/>
          <w:sz w:val="22"/>
          <w:szCs w:val="22"/>
          <w:lang w:val="it-IT"/>
        </w:rPr>
        <w:t>Conta</w:t>
      </w:r>
      <w:r w:rsidR="009E16F2" w:rsidRPr="000742FE">
        <w:rPr>
          <w:rFonts w:ascii="Trebuchet MS" w:eastAsia="Times New Roman" w:hAnsi="Trebuchet MS" w:cstheme="minorHAnsi"/>
          <w:b/>
          <w:sz w:val="22"/>
          <w:szCs w:val="22"/>
          <w:lang w:val="it-IT"/>
        </w:rPr>
        <w:t>tti</w:t>
      </w:r>
    </w:p>
    <w:p w14:paraId="387C457A" w14:textId="77777777" w:rsidR="008F761B" w:rsidRPr="000742FE" w:rsidRDefault="008F761B" w:rsidP="008F761B">
      <w:pPr>
        <w:rPr>
          <w:rFonts w:ascii="Trebuchet MS" w:eastAsia="Times New Roman" w:hAnsi="Trebuchet MS" w:cstheme="minorHAnsi"/>
          <w:b/>
          <w:sz w:val="22"/>
          <w:szCs w:val="22"/>
          <w:lang w:val="it-IT"/>
        </w:rPr>
      </w:pPr>
    </w:p>
    <w:bookmarkEnd w:id="3"/>
    <w:p w14:paraId="1282388F" w14:textId="77777777" w:rsidR="009E16F2" w:rsidRPr="000742FE" w:rsidRDefault="009E16F2" w:rsidP="009E16F2">
      <w:pPr>
        <w:spacing w:line="320" w:lineRule="exact"/>
        <w:rPr>
          <w:rFonts w:ascii="Trebuchet MS" w:eastAsia="Times New Roman" w:hAnsi="Trebuchet MS" w:cstheme="minorHAnsi"/>
          <w:sz w:val="22"/>
          <w:szCs w:val="22"/>
          <w:lang w:val="it-IT"/>
        </w:rPr>
      </w:pPr>
      <w:r w:rsidRPr="000742FE">
        <w:rPr>
          <w:rFonts w:ascii="Trebuchet MS" w:eastAsia="Times New Roman" w:hAnsi="Trebuchet MS" w:cstheme="minorHAnsi"/>
          <w:sz w:val="22"/>
          <w:szCs w:val="22"/>
          <w:lang w:val="it-IT"/>
        </w:rPr>
        <w:t xml:space="preserve">Grazia Lomastro </w:t>
      </w:r>
    </w:p>
    <w:p w14:paraId="28C07442" w14:textId="6127F639" w:rsidR="009E16F2" w:rsidRPr="000742FE" w:rsidRDefault="009E16F2" w:rsidP="009E16F2">
      <w:pPr>
        <w:spacing w:line="320" w:lineRule="exact"/>
        <w:rPr>
          <w:rFonts w:ascii="Trebuchet MS" w:eastAsia="Times New Roman" w:hAnsi="Trebuchet MS" w:cstheme="minorHAnsi"/>
          <w:sz w:val="22"/>
          <w:szCs w:val="22"/>
          <w:lang w:val="it-IT"/>
        </w:rPr>
      </w:pPr>
      <w:r w:rsidRPr="000742FE">
        <w:rPr>
          <w:rFonts w:ascii="Trebuchet MS" w:eastAsia="Times New Roman" w:hAnsi="Trebuchet MS" w:cstheme="minorHAnsi"/>
          <w:sz w:val="22"/>
          <w:szCs w:val="22"/>
          <w:lang w:val="it-IT"/>
        </w:rPr>
        <w:t>Bristol</w:t>
      </w:r>
      <w:r w:rsidR="007217D1" w:rsidRPr="000742FE">
        <w:rPr>
          <w:rFonts w:ascii="Trebuchet MS" w:eastAsia="Times New Roman" w:hAnsi="Trebuchet MS" w:cstheme="minorHAnsi"/>
          <w:sz w:val="22"/>
          <w:szCs w:val="22"/>
          <w:lang w:val="it-IT"/>
        </w:rPr>
        <w:t xml:space="preserve"> </w:t>
      </w:r>
      <w:r w:rsidRPr="000742FE">
        <w:rPr>
          <w:rFonts w:ascii="Trebuchet MS" w:eastAsia="Times New Roman" w:hAnsi="Trebuchet MS" w:cstheme="minorHAnsi"/>
          <w:sz w:val="22"/>
          <w:szCs w:val="22"/>
          <w:lang w:val="it-IT"/>
        </w:rPr>
        <w:t xml:space="preserve">Myers Squibb </w:t>
      </w:r>
    </w:p>
    <w:p w14:paraId="7A38C531" w14:textId="77777777" w:rsidR="009E16F2" w:rsidRPr="000742FE" w:rsidRDefault="009E16F2" w:rsidP="009E16F2">
      <w:pPr>
        <w:spacing w:line="320" w:lineRule="exact"/>
        <w:rPr>
          <w:rFonts w:ascii="Trebuchet MS" w:eastAsia="Times New Roman" w:hAnsi="Trebuchet MS" w:cstheme="minorHAnsi"/>
          <w:sz w:val="22"/>
          <w:szCs w:val="22"/>
          <w:lang w:val="it-IT"/>
        </w:rPr>
      </w:pPr>
      <w:r w:rsidRPr="000742FE">
        <w:rPr>
          <w:rFonts w:ascii="Trebuchet MS" w:eastAsia="Times New Roman" w:hAnsi="Trebuchet MS" w:cstheme="minorHAnsi"/>
          <w:sz w:val="22"/>
          <w:szCs w:val="22"/>
          <w:lang w:val="it-IT"/>
        </w:rPr>
        <w:t>06 503961</w:t>
      </w:r>
    </w:p>
    <w:p w14:paraId="6EF1D1FF" w14:textId="77777777" w:rsidR="009E16F2" w:rsidRPr="000742FE" w:rsidRDefault="00C82EBC" w:rsidP="009E16F2">
      <w:pPr>
        <w:spacing w:line="320" w:lineRule="exact"/>
        <w:rPr>
          <w:rFonts w:ascii="Trebuchet MS" w:hAnsi="Trebuchet MS" w:cstheme="minorHAnsi"/>
          <w:sz w:val="22"/>
          <w:szCs w:val="22"/>
          <w:lang w:val="it-IT"/>
        </w:rPr>
      </w:pPr>
      <w:hyperlink r:id="rId12" w:history="1">
        <w:r w:rsidR="009E16F2" w:rsidRPr="000742FE">
          <w:rPr>
            <w:rFonts w:ascii="Trebuchet MS" w:eastAsia="Times New Roman" w:hAnsi="Trebuchet MS" w:cstheme="minorHAnsi"/>
            <w:sz w:val="22"/>
            <w:szCs w:val="22"/>
            <w:lang w:val="it-IT"/>
          </w:rPr>
          <w:t>grazia.lomastro@bms.com</w:t>
        </w:r>
      </w:hyperlink>
    </w:p>
    <w:p w14:paraId="4E1224BD" w14:textId="77777777" w:rsidR="009E16F2" w:rsidRPr="000742FE" w:rsidRDefault="009E16F2" w:rsidP="009E16F2">
      <w:pPr>
        <w:spacing w:line="320" w:lineRule="exact"/>
        <w:rPr>
          <w:rFonts w:ascii="Trebuchet MS" w:eastAsia="Times New Roman" w:hAnsi="Trebuchet MS" w:cstheme="minorHAnsi"/>
          <w:sz w:val="22"/>
          <w:szCs w:val="22"/>
          <w:lang w:val="it-IT"/>
        </w:rPr>
      </w:pPr>
    </w:p>
    <w:p w14:paraId="29183F4D" w14:textId="77777777" w:rsidR="009E16F2" w:rsidRPr="000742FE" w:rsidRDefault="009E16F2" w:rsidP="009E16F2">
      <w:pPr>
        <w:spacing w:line="320" w:lineRule="exact"/>
        <w:rPr>
          <w:rFonts w:ascii="Trebuchet MS" w:eastAsia="Times New Roman" w:hAnsi="Trebuchet MS" w:cstheme="minorHAnsi"/>
          <w:sz w:val="22"/>
          <w:szCs w:val="22"/>
          <w:lang w:val="it-IT"/>
        </w:rPr>
      </w:pPr>
    </w:p>
    <w:p w14:paraId="2241423E" w14:textId="77777777" w:rsidR="009E16F2" w:rsidRPr="000742FE" w:rsidRDefault="009E16F2" w:rsidP="009E16F2">
      <w:pPr>
        <w:spacing w:line="320" w:lineRule="exact"/>
        <w:rPr>
          <w:rFonts w:ascii="Trebuchet MS" w:eastAsia="Times New Roman" w:hAnsi="Trebuchet MS" w:cstheme="minorHAnsi"/>
          <w:sz w:val="22"/>
          <w:szCs w:val="22"/>
          <w:lang w:val="it-IT"/>
        </w:rPr>
      </w:pPr>
      <w:r w:rsidRPr="000742FE">
        <w:rPr>
          <w:rFonts w:ascii="Trebuchet MS" w:eastAsia="Times New Roman" w:hAnsi="Trebuchet MS" w:cstheme="minorHAnsi"/>
          <w:sz w:val="22"/>
          <w:szCs w:val="22"/>
          <w:lang w:val="it-IT"/>
        </w:rPr>
        <w:t>Ufficio stampa</w:t>
      </w:r>
    </w:p>
    <w:p w14:paraId="3C971320" w14:textId="77777777" w:rsidR="009E16F2" w:rsidRPr="000742FE" w:rsidRDefault="009E16F2" w:rsidP="009E16F2">
      <w:pPr>
        <w:spacing w:line="320" w:lineRule="exact"/>
        <w:rPr>
          <w:rFonts w:ascii="Trebuchet MS" w:eastAsia="Times New Roman" w:hAnsi="Trebuchet MS" w:cstheme="minorHAnsi"/>
          <w:sz w:val="22"/>
          <w:szCs w:val="22"/>
          <w:lang w:val="it-IT"/>
        </w:rPr>
      </w:pPr>
      <w:r w:rsidRPr="000742FE">
        <w:rPr>
          <w:rFonts w:ascii="Trebuchet MS" w:eastAsia="Times New Roman" w:hAnsi="Trebuchet MS" w:cstheme="minorHAnsi"/>
          <w:sz w:val="22"/>
          <w:szCs w:val="22"/>
          <w:lang w:val="it-IT"/>
        </w:rPr>
        <w:t>Intermedia</w:t>
      </w:r>
    </w:p>
    <w:p w14:paraId="0AC57ADC" w14:textId="77777777" w:rsidR="009E16F2" w:rsidRPr="000742FE" w:rsidRDefault="009E16F2" w:rsidP="009E16F2">
      <w:pPr>
        <w:spacing w:line="320" w:lineRule="exact"/>
        <w:rPr>
          <w:rFonts w:ascii="Trebuchet MS" w:eastAsia="Times New Roman" w:hAnsi="Trebuchet MS" w:cstheme="minorHAnsi"/>
          <w:sz w:val="22"/>
          <w:szCs w:val="22"/>
          <w:lang w:val="it-IT"/>
        </w:rPr>
      </w:pPr>
      <w:r w:rsidRPr="000742FE">
        <w:rPr>
          <w:rFonts w:ascii="Trebuchet MS" w:eastAsia="Times New Roman" w:hAnsi="Trebuchet MS" w:cstheme="minorHAnsi"/>
          <w:sz w:val="22"/>
          <w:szCs w:val="22"/>
          <w:lang w:val="it-IT"/>
        </w:rPr>
        <w:t>3351892975 - 335265394</w:t>
      </w:r>
    </w:p>
    <w:p w14:paraId="5507014B" w14:textId="77777777" w:rsidR="009E16F2" w:rsidRPr="000742FE" w:rsidRDefault="00C82EBC" w:rsidP="009E16F2">
      <w:pPr>
        <w:spacing w:line="320" w:lineRule="exact"/>
        <w:rPr>
          <w:rFonts w:ascii="Trebuchet MS" w:eastAsia="Times New Roman" w:hAnsi="Trebuchet MS" w:cstheme="minorHAnsi"/>
          <w:sz w:val="22"/>
          <w:szCs w:val="22"/>
          <w:lang w:val="it-IT"/>
        </w:rPr>
      </w:pPr>
      <w:hyperlink r:id="rId13" w:history="1">
        <w:r w:rsidR="009E16F2" w:rsidRPr="000742FE">
          <w:rPr>
            <w:rStyle w:val="Collegamentoipertestuale"/>
            <w:rFonts w:ascii="Trebuchet MS" w:eastAsia="Times New Roman" w:hAnsi="Trebuchet MS" w:cstheme="minorHAnsi"/>
            <w:sz w:val="22"/>
            <w:szCs w:val="22"/>
            <w:lang w:val="it-IT"/>
          </w:rPr>
          <w:t>intermedia@intermedianews.it</w:t>
        </w:r>
      </w:hyperlink>
    </w:p>
    <w:p w14:paraId="08C97D01" w14:textId="77777777" w:rsidR="00FA4FFC" w:rsidRPr="000742FE" w:rsidRDefault="00FA4FFC" w:rsidP="008F761B">
      <w:pPr>
        <w:contextualSpacing/>
        <w:rPr>
          <w:rFonts w:ascii="Trebuchet MS" w:hAnsi="Trebuchet MS"/>
          <w:bCs/>
          <w:sz w:val="22"/>
          <w:szCs w:val="22"/>
          <w:u w:val="single"/>
        </w:rPr>
      </w:pPr>
    </w:p>
    <w:sectPr w:rsidR="00FA4FFC" w:rsidRPr="000742FE" w:rsidSect="00FC4491">
      <w:headerReference w:type="even" r:id="rId14"/>
      <w:head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65BD3" w14:textId="77777777" w:rsidR="00B5172E" w:rsidRDefault="00B5172E">
      <w:r>
        <w:separator/>
      </w:r>
    </w:p>
  </w:endnote>
  <w:endnote w:type="continuationSeparator" w:id="0">
    <w:p w14:paraId="15A36D94" w14:textId="77777777" w:rsidR="00B5172E" w:rsidRDefault="00B5172E">
      <w:r>
        <w:continuationSeparator/>
      </w:r>
    </w:p>
  </w:endnote>
  <w:endnote w:type="continuationNotice" w:id="1">
    <w:p w14:paraId="1F24A957" w14:textId="77777777" w:rsidR="00B5172E" w:rsidRDefault="00B517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23E38" w14:textId="77777777" w:rsidR="00B5172E" w:rsidRDefault="00B5172E">
      <w:r>
        <w:separator/>
      </w:r>
    </w:p>
  </w:footnote>
  <w:footnote w:type="continuationSeparator" w:id="0">
    <w:p w14:paraId="1BEE13E9" w14:textId="77777777" w:rsidR="00B5172E" w:rsidRDefault="00B5172E">
      <w:r>
        <w:continuationSeparator/>
      </w:r>
    </w:p>
  </w:footnote>
  <w:footnote w:type="continuationNotice" w:id="1">
    <w:p w14:paraId="6D77D467" w14:textId="77777777" w:rsidR="00B5172E" w:rsidRDefault="00B517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DBC41" w14:textId="77777777" w:rsidR="00FC4491" w:rsidRDefault="00656DD3">
    <w:pPr>
      <w:pStyle w:val="Intestazione"/>
    </w:pPr>
    <w:r>
      <w:rPr>
        <w:noProof/>
      </w:rPr>
      <mc:AlternateContent>
        <mc:Choice Requires="wps">
          <w:drawing>
            <wp:anchor distT="0" distB="0" distL="114300" distR="114300" simplePos="0" relativeHeight="251663360" behindDoc="1" locked="0" layoutInCell="0" allowOverlap="1" wp14:anchorId="772348AC" wp14:editId="1FA7ED7D">
              <wp:simplePos x="0" y="0"/>
              <wp:positionH relativeFrom="margin">
                <wp:align>center</wp:align>
              </wp:positionH>
              <wp:positionV relativeFrom="margin">
                <wp:align>center</wp:align>
              </wp:positionV>
              <wp:extent cx="6285230" cy="10604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700000">
                        <a:off x="0" y="0"/>
                        <a:ext cx="6285230" cy="10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8837104" w14:textId="77777777" w:rsidR="00FC4491" w:rsidRDefault="00550E22" w:rsidP="00FC4491">
                          <w:pPr>
                            <w:pStyle w:val="NormaleWeb"/>
                            <w:spacing w:before="0" w:beforeAutospacing="0" w:after="0" w:afterAutospacing="0"/>
                            <w:jc w:val="center"/>
                          </w:pPr>
                          <w:r>
                            <w:rPr>
                              <w:color w:val="C0C0C0"/>
                              <w:sz w:val="2"/>
                              <w:szCs w:val="2"/>
                            </w:rPr>
                            <w:t>DRAFT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72348AC" id="_x0000_t202" coordsize="21600,21600" o:spt="202" path="m,l,21600r21600,l21600,xe">
              <v:stroke joinstyle="miter"/>
              <v:path gradientshapeok="t" o:connecttype="rect"/>
            </v:shapetype>
            <v:shape id="Text Box 4" o:spid="_x0000_s1026" type="#_x0000_t202" style="position:absolute;margin-left:0;margin-top:0;width:494.9pt;height:8.3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" o:allowincell="f" filled="f" stroked="f">
              <v:stroke joinstyle="round"/>
              <v:path arrowok="t"/>
              <v:textbox style="mso-fit-shape-to-text:t">
                <w:txbxContent>
                  <w:p w14:paraId="18837104" w14:textId="77777777" w:rsidR="00FC4491" w:rsidRDefault="00550E22" w:rsidP="00FC4491">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r w:rsidR="00015D1C">
      <w:rPr>
        <w:noProof/>
      </w:rPr>
      <w:pict w14:anchorId="084EA9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7" type="#_x0000_t136" alt="" style="position:absolute;margin-left:0;margin-top:0;width:494.9pt;height:164.95pt;rotation:315;z-index:-25165619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r w:rsidR="00015D1C">
      <w:rPr>
        <w:noProof/>
      </w:rPr>
      <w:pict w14:anchorId="4CD326AE">
        <v:shape id="PowerPlusWaterMarkObject1" o:spid="_x0000_s1026" type="#_x0000_t136" alt="" style="position:absolute;margin-left:0;margin-top:0;width:494.9pt;height:164.95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E1466" w14:textId="54C082B2" w:rsidR="00C052DA" w:rsidRPr="006923A8" w:rsidRDefault="00656DD3" w:rsidP="006923A8">
    <w:pPr>
      <w:pStyle w:val="Intestazione"/>
      <w:jc w:val="center"/>
      <w:rPr>
        <w:rFonts w:ascii="Trebuchet MS" w:hAnsi="Trebuchet MS" w:cs="Times New Roman"/>
        <w:b/>
        <w:color w:val="FF0000"/>
        <w:sz w:val="21"/>
      </w:rPr>
    </w:pPr>
    <w:r>
      <w:rPr>
        <w:rFonts w:ascii="Trebuchet MS" w:hAnsi="Trebuchet MS"/>
        <w:b/>
        <w:noProof/>
      </w:rPr>
      <mc:AlternateContent>
        <mc:Choice Requires="wps">
          <w:drawing>
            <wp:anchor distT="0" distB="0" distL="114300" distR="114300" simplePos="0" relativeHeight="251662336" behindDoc="1" locked="0" layoutInCell="0" allowOverlap="1" wp14:anchorId="5B7FCBAF" wp14:editId="50B5D6AF">
              <wp:simplePos x="0" y="0"/>
              <wp:positionH relativeFrom="margin">
                <wp:align>center</wp:align>
              </wp:positionH>
              <wp:positionV relativeFrom="margin">
                <wp:align>center</wp:align>
              </wp:positionV>
              <wp:extent cx="6285230" cy="1060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28523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FD41DCE" w14:textId="77777777" w:rsidR="00FC4491" w:rsidRDefault="00550E22" w:rsidP="00FC4491">
                          <w:pPr>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B7FCBAF" id="_x0000_t202" coordsize="21600,21600" o:spt="202" path="m,l,21600r21600,l21600,xe">
              <v:stroke joinstyle="miter"/>
              <v:path gradientshapeok="t" o:connecttype="rect"/>
            </v:shapetype>
            <v:shape id="Text Box 3" o:spid="_x0000_s1027" type="#_x0000_t202" style="position:absolute;left:0;text-align:left;margin-left:0;margin-top:0;width:494.9pt;height:8.3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" o:allowincell="f" filled="f" stroked="f">
              <v:stroke joinstyle="round"/>
              <v:path arrowok="t"/>
              <v:textbox style="mso-fit-shape-to-text:t">
                <w:txbxContent>
                  <w:p w14:paraId="7FD41DCE" w14:textId="77777777" w:rsidR="00FC4491" w:rsidRDefault="00550E22" w:rsidP="00FC4491">
                    <w:pPr>
                      <w:jc w:val="center"/>
                    </w:pPr>
                    <w:r>
                      <w:rPr>
                        <w:color w:val="C0C0C0"/>
                        <w:sz w:val="2"/>
                        <w:szCs w:val="2"/>
                      </w:rPr>
                      <w:t>DRAFT</w:t>
                    </w:r>
                  </w:p>
                </w:txbxContent>
              </v:textbox>
              <w10:wrap anchorx="margin" anchory="margin"/>
            </v:shape>
          </w:pict>
        </mc:Fallback>
      </mc:AlternateContent>
    </w:r>
  </w:p>
  <w:p w14:paraId="23816B2B" w14:textId="77777777" w:rsidR="00FC4491" w:rsidRPr="00135F69" w:rsidRDefault="00FC4491">
    <w:pPr>
      <w:pStyle w:val="Intestazione"/>
      <w:rPr>
        <w:rFonts w:ascii="Times New Roman" w:hAnsi="Times New Roman" w:cs="Times New Roman"/>
        <w:color w:val="FF0000"/>
        <w:sz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DFB72" w14:textId="77777777" w:rsidR="00FC4491" w:rsidRDefault="00656DD3">
    <w:pPr>
      <w:pStyle w:val="Intestazione"/>
    </w:pPr>
    <w:r>
      <w:rPr>
        <w:noProof/>
      </w:rPr>
      <mc:AlternateContent>
        <mc:Choice Requires="wps">
          <w:drawing>
            <wp:anchor distT="0" distB="0" distL="114300" distR="114300" simplePos="0" relativeHeight="251664384" behindDoc="1" locked="0" layoutInCell="0" allowOverlap="1" wp14:anchorId="6AF9D6CE" wp14:editId="0DB297DF">
              <wp:simplePos x="0" y="0"/>
              <wp:positionH relativeFrom="margin">
                <wp:align>center</wp:align>
              </wp:positionH>
              <wp:positionV relativeFrom="margin">
                <wp:align>center</wp:align>
              </wp:positionV>
              <wp:extent cx="6285230" cy="1060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28523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433975" w14:textId="77777777" w:rsidR="00FC4491" w:rsidRDefault="00550E22" w:rsidP="00FC4491">
                          <w:pPr>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AF9D6CE" id="_x0000_t202" coordsize="21600,21600" o:spt="202" path="m,l,21600r21600,l21600,xe">
              <v:stroke joinstyle="miter"/>
              <v:path gradientshapeok="t" o:connecttype="rect"/>
            </v:shapetype>
            <v:shape id="Text Box 2" o:spid="_x0000_s1028" type="#_x0000_t202" style="position:absolute;margin-left:0;margin-top:0;width:494.9pt;height:8.35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" o:allowincell="f" filled="f" stroked="f">
              <v:stroke joinstyle="round"/>
              <v:path arrowok="t"/>
              <v:textbox style="mso-fit-shape-to-text:t">
                <w:txbxContent>
                  <w:p w14:paraId="14433975" w14:textId="77777777" w:rsidR="00FC4491" w:rsidRDefault="00550E22" w:rsidP="00FC4491">
                    <w:pPr>
                      <w:jc w:val="center"/>
                    </w:pPr>
                    <w:r>
                      <w:rPr>
                        <w:color w:val="C0C0C0"/>
                        <w:sz w:val="2"/>
                        <w:szCs w:val="2"/>
                      </w:rPr>
                      <w:t>DRAFT</w:t>
                    </w:r>
                  </w:p>
                </w:txbxContent>
              </v:textbox>
              <w10:wrap anchorx="margin" anchory="margin"/>
            </v:shape>
          </w:pict>
        </mc:Fallback>
      </mc:AlternateContent>
    </w:r>
    <w:r w:rsidR="00015D1C">
      <w:rPr>
        <w:noProof/>
      </w:rPr>
      <w:pict w14:anchorId="177903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5"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86170"/>
    <w:multiLevelType w:val="hybridMultilevel"/>
    <w:tmpl w:val="B322D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DE3ACB"/>
    <w:multiLevelType w:val="hybridMultilevel"/>
    <w:tmpl w:val="0898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2F2291"/>
    <w:multiLevelType w:val="hybridMultilevel"/>
    <w:tmpl w:val="A7A29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803708"/>
    <w:multiLevelType w:val="hybridMultilevel"/>
    <w:tmpl w:val="B8CC0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proofState w:spelling="clean" w:grammar="clean"/>
  <w:defaultTabStop w:val="720"/>
  <w:hyphenationZone w:val="283"/>
  <w:characterSpacingControl w:val="doNotCompress"/>
  <w:hdrShapeDefaults>
    <o:shapedefaults v:ext="edit" spidmax="410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FFC"/>
    <w:rsid w:val="0001390E"/>
    <w:rsid w:val="00013B41"/>
    <w:rsid w:val="00015D1C"/>
    <w:rsid w:val="00021854"/>
    <w:rsid w:val="00030A79"/>
    <w:rsid w:val="000317DC"/>
    <w:rsid w:val="00034549"/>
    <w:rsid w:val="0004667B"/>
    <w:rsid w:val="00053254"/>
    <w:rsid w:val="00062481"/>
    <w:rsid w:val="000650AA"/>
    <w:rsid w:val="000712F0"/>
    <w:rsid w:val="000742FE"/>
    <w:rsid w:val="000764A6"/>
    <w:rsid w:val="00082AC4"/>
    <w:rsid w:val="00083A25"/>
    <w:rsid w:val="000848F3"/>
    <w:rsid w:val="00090E5D"/>
    <w:rsid w:val="00091F79"/>
    <w:rsid w:val="000B43F9"/>
    <w:rsid w:val="000B5C01"/>
    <w:rsid w:val="000B749A"/>
    <w:rsid w:val="000D1603"/>
    <w:rsid w:val="000E06FC"/>
    <w:rsid w:val="000E73FF"/>
    <w:rsid w:val="000F22E7"/>
    <w:rsid w:val="000F7E6B"/>
    <w:rsid w:val="001002DB"/>
    <w:rsid w:val="00103936"/>
    <w:rsid w:val="001248E0"/>
    <w:rsid w:val="00134DF0"/>
    <w:rsid w:val="00160021"/>
    <w:rsid w:val="00162B68"/>
    <w:rsid w:val="0016632B"/>
    <w:rsid w:val="00172196"/>
    <w:rsid w:val="00175DF2"/>
    <w:rsid w:val="001848AB"/>
    <w:rsid w:val="001978A2"/>
    <w:rsid w:val="001B7524"/>
    <w:rsid w:val="001B7860"/>
    <w:rsid w:val="001C3AF5"/>
    <w:rsid w:val="001D40D5"/>
    <w:rsid w:val="001D6BCD"/>
    <w:rsid w:val="001E2C73"/>
    <w:rsid w:val="001E5CAF"/>
    <w:rsid w:val="001E6E95"/>
    <w:rsid w:val="001F216B"/>
    <w:rsid w:val="001F513E"/>
    <w:rsid w:val="002124EA"/>
    <w:rsid w:val="00217D51"/>
    <w:rsid w:val="00221B1F"/>
    <w:rsid w:val="00225251"/>
    <w:rsid w:val="0023444F"/>
    <w:rsid w:val="00242000"/>
    <w:rsid w:val="00242053"/>
    <w:rsid w:val="00267680"/>
    <w:rsid w:val="00273162"/>
    <w:rsid w:val="00273668"/>
    <w:rsid w:val="0027559D"/>
    <w:rsid w:val="00276581"/>
    <w:rsid w:val="002813B4"/>
    <w:rsid w:val="00292F7D"/>
    <w:rsid w:val="002957E1"/>
    <w:rsid w:val="002A16A2"/>
    <w:rsid w:val="002A7902"/>
    <w:rsid w:val="002B51A6"/>
    <w:rsid w:val="002C1C51"/>
    <w:rsid w:val="002C27AA"/>
    <w:rsid w:val="002C57B0"/>
    <w:rsid w:val="002D336D"/>
    <w:rsid w:val="002D5663"/>
    <w:rsid w:val="002D5F3A"/>
    <w:rsid w:val="002E1EC2"/>
    <w:rsid w:val="002E3525"/>
    <w:rsid w:val="002E4559"/>
    <w:rsid w:val="002F7C40"/>
    <w:rsid w:val="003010BA"/>
    <w:rsid w:val="00304E28"/>
    <w:rsid w:val="00306147"/>
    <w:rsid w:val="003068CE"/>
    <w:rsid w:val="00306A58"/>
    <w:rsid w:val="00311880"/>
    <w:rsid w:val="00322A1F"/>
    <w:rsid w:val="00322F96"/>
    <w:rsid w:val="00323863"/>
    <w:rsid w:val="00353F0C"/>
    <w:rsid w:val="003603CB"/>
    <w:rsid w:val="003657A1"/>
    <w:rsid w:val="003661D0"/>
    <w:rsid w:val="00370078"/>
    <w:rsid w:val="00384C89"/>
    <w:rsid w:val="00391357"/>
    <w:rsid w:val="00392301"/>
    <w:rsid w:val="003A2C58"/>
    <w:rsid w:val="003B0D33"/>
    <w:rsid w:val="003B34F7"/>
    <w:rsid w:val="003B5D35"/>
    <w:rsid w:val="003C2FD0"/>
    <w:rsid w:val="003C5D1D"/>
    <w:rsid w:val="003C7D67"/>
    <w:rsid w:val="003D4F7D"/>
    <w:rsid w:val="003E62DE"/>
    <w:rsid w:val="003F4C57"/>
    <w:rsid w:val="00401A9B"/>
    <w:rsid w:val="00421EF9"/>
    <w:rsid w:val="00432CC2"/>
    <w:rsid w:val="00441D6B"/>
    <w:rsid w:val="0044665C"/>
    <w:rsid w:val="00465926"/>
    <w:rsid w:val="00466733"/>
    <w:rsid w:val="0047057B"/>
    <w:rsid w:val="00476F5F"/>
    <w:rsid w:val="00477142"/>
    <w:rsid w:val="00477461"/>
    <w:rsid w:val="00480221"/>
    <w:rsid w:val="00482913"/>
    <w:rsid w:val="00484C46"/>
    <w:rsid w:val="00487FF6"/>
    <w:rsid w:val="004948AB"/>
    <w:rsid w:val="00494D0A"/>
    <w:rsid w:val="004A351F"/>
    <w:rsid w:val="004B5CF9"/>
    <w:rsid w:val="004B73A1"/>
    <w:rsid w:val="004D4298"/>
    <w:rsid w:val="004D749B"/>
    <w:rsid w:val="004E0CAB"/>
    <w:rsid w:val="004E307E"/>
    <w:rsid w:val="004E580C"/>
    <w:rsid w:val="00500A2F"/>
    <w:rsid w:val="00501B43"/>
    <w:rsid w:val="0050608D"/>
    <w:rsid w:val="00506311"/>
    <w:rsid w:val="0051449A"/>
    <w:rsid w:val="00522443"/>
    <w:rsid w:val="0052384C"/>
    <w:rsid w:val="00524793"/>
    <w:rsid w:val="0053458A"/>
    <w:rsid w:val="00536967"/>
    <w:rsid w:val="00545DC0"/>
    <w:rsid w:val="00546657"/>
    <w:rsid w:val="00550E22"/>
    <w:rsid w:val="00556D8B"/>
    <w:rsid w:val="00557FA6"/>
    <w:rsid w:val="0057000F"/>
    <w:rsid w:val="005703E6"/>
    <w:rsid w:val="00575AD9"/>
    <w:rsid w:val="00581E83"/>
    <w:rsid w:val="00592EE1"/>
    <w:rsid w:val="005A6175"/>
    <w:rsid w:val="005B16E5"/>
    <w:rsid w:val="005B240D"/>
    <w:rsid w:val="005B3844"/>
    <w:rsid w:val="005B5B45"/>
    <w:rsid w:val="005D40B3"/>
    <w:rsid w:val="005D54FF"/>
    <w:rsid w:val="005E45D3"/>
    <w:rsid w:val="005F4E9A"/>
    <w:rsid w:val="006059C0"/>
    <w:rsid w:val="00610D5D"/>
    <w:rsid w:val="006125C7"/>
    <w:rsid w:val="0061703E"/>
    <w:rsid w:val="00617452"/>
    <w:rsid w:val="00625109"/>
    <w:rsid w:val="00630CBF"/>
    <w:rsid w:val="00632C90"/>
    <w:rsid w:val="00633550"/>
    <w:rsid w:val="00633975"/>
    <w:rsid w:val="00653489"/>
    <w:rsid w:val="00654A9D"/>
    <w:rsid w:val="00656BC0"/>
    <w:rsid w:val="00656DD3"/>
    <w:rsid w:val="00657624"/>
    <w:rsid w:val="00677EA6"/>
    <w:rsid w:val="0068225E"/>
    <w:rsid w:val="006923A8"/>
    <w:rsid w:val="006A27D7"/>
    <w:rsid w:val="006A6752"/>
    <w:rsid w:val="006C1C26"/>
    <w:rsid w:val="006D31F4"/>
    <w:rsid w:val="006E45CF"/>
    <w:rsid w:val="006E574E"/>
    <w:rsid w:val="006F0B2D"/>
    <w:rsid w:val="006F2404"/>
    <w:rsid w:val="00713DF5"/>
    <w:rsid w:val="00714546"/>
    <w:rsid w:val="007217D1"/>
    <w:rsid w:val="007360C7"/>
    <w:rsid w:val="00742643"/>
    <w:rsid w:val="00746F33"/>
    <w:rsid w:val="007546CB"/>
    <w:rsid w:val="007549CF"/>
    <w:rsid w:val="00762C4D"/>
    <w:rsid w:val="00763C16"/>
    <w:rsid w:val="00765FBF"/>
    <w:rsid w:val="00766B11"/>
    <w:rsid w:val="00776DE5"/>
    <w:rsid w:val="00782322"/>
    <w:rsid w:val="00791828"/>
    <w:rsid w:val="007918A9"/>
    <w:rsid w:val="00792436"/>
    <w:rsid w:val="00792EEB"/>
    <w:rsid w:val="00793F91"/>
    <w:rsid w:val="00797F43"/>
    <w:rsid w:val="007A221D"/>
    <w:rsid w:val="007A3967"/>
    <w:rsid w:val="007B07EA"/>
    <w:rsid w:val="007B2629"/>
    <w:rsid w:val="007B5072"/>
    <w:rsid w:val="007B52B4"/>
    <w:rsid w:val="007B5495"/>
    <w:rsid w:val="007E584C"/>
    <w:rsid w:val="007E759A"/>
    <w:rsid w:val="007F3625"/>
    <w:rsid w:val="00814F49"/>
    <w:rsid w:val="0082325E"/>
    <w:rsid w:val="008324D8"/>
    <w:rsid w:val="00832D77"/>
    <w:rsid w:val="00843A54"/>
    <w:rsid w:val="008453DE"/>
    <w:rsid w:val="00866367"/>
    <w:rsid w:val="0086682B"/>
    <w:rsid w:val="00880883"/>
    <w:rsid w:val="00881E64"/>
    <w:rsid w:val="008822A8"/>
    <w:rsid w:val="0088689C"/>
    <w:rsid w:val="00887845"/>
    <w:rsid w:val="008917D3"/>
    <w:rsid w:val="008A28A4"/>
    <w:rsid w:val="008A331E"/>
    <w:rsid w:val="008A3A58"/>
    <w:rsid w:val="008C03D5"/>
    <w:rsid w:val="008C0A18"/>
    <w:rsid w:val="008C3609"/>
    <w:rsid w:val="008D6194"/>
    <w:rsid w:val="008D6C61"/>
    <w:rsid w:val="008E32E4"/>
    <w:rsid w:val="008E4F17"/>
    <w:rsid w:val="008F08E0"/>
    <w:rsid w:val="008F761B"/>
    <w:rsid w:val="00904923"/>
    <w:rsid w:val="0090565A"/>
    <w:rsid w:val="00905D4E"/>
    <w:rsid w:val="00920B13"/>
    <w:rsid w:val="00926E6E"/>
    <w:rsid w:val="00930B5D"/>
    <w:rsid w:val="00940D3B"/>
    <w:rsid w:val="00947055"/>
    <w:rsid w:val="0095092A"/>
    <w:rsid w:val="00952C1B"/>
    <w:rsid w:val="00960005"/>
    <w:rsid w:val="009642C8"/>
    <w:rsid w:val="00980DC6"/>
    <w:rsid w:val="009863C6"/>
    <w:rsid w:val="00993D7E"/>
    <w:rsid w:val="009B29BB"/>
    <w:rsid w:val="009B3FB0"/>
    <w:rsid w:val="009D114B"/>
    <w:rsid w:val="009E16F2"/>
    <w:rsid w:val="009E2F15"/>
    <w:rsid w:val="009E69B4"/>
    <w:rsid w:val="00A1241A"/>
    <w:rsid w:val="00A27A40"/>
    <w:rsid w:val="00A33DC0"/>
    <w:rsid w:val="00A44D9F"/>
    <w:rsid w:val="00A53B4D"/>
    <w:rsid w:val="00A622D1"/>
    <w:rsid w:val="00A64EEE"/>
    <w:rsid w:val="00A66719"/>
    <w:rsid w:val="00A74427"/>
    <w:rsid w:val="00A92AE3"/>
    <w:rsid w:val="00A92DB2"/>
    <w:rsid w:val="00A93996"/>
    <w:rsid w:val="00AB1506"/>
    <w:rsid w:val="00AB6C6A"/>
    <w:rsid w:val="00AB6E46"/>
    <w:rsid w:val="00AB70BF"/>
    <w:rsid w:val="00AC3D1A"/>
    <w:rsid w:val="00AE3502"/>
    <w:rsid w:val="00AE44A2"/>
    <w:rsid w:val="00AF1E57"/>
    <w:rsid w:val="00AF40C0"/>
    <w:rsid w:val="00AF4363"/>
    <w:rsid w:val="00B01544"/>
    <w:rsid w:val="00B20347"/>
    <w:rsid w:val="00B2598C"/>
    <w:rsid w:val="00B3254C"/>
    <w:rsid w:val="00B37357"/>
    <w:rsid w:val="00B5172E"/>
    <w:rsid w:val="00B54F5B"/>
    <w:rsid w:val="00B56E4B"/>
    <w:rsid w:val="00B62084"/>
    <w:rsid w:val="00B64EB3"/>
    <w:rsid w:val="00B67965"/>
    <w:rsid w:val="00B7431B"/>
    <w:rsid w:val="00B85040"/>
    <w:rsid w:val="00BA17E4"/>
    <w:rsid w:val="00BA70A9"/>
    <w:rsid w:val="00BB11B0"/>
    <w:rsid w:val="00BB49C9"/>
    <w:rsid w:val="00BC3371"/>
    <w:rsid w:val="00BC6D97"/>
    <w:rsid w:val="00BE0F19"/>
    <w:rsid w:val="00BE51D4"/>
    <w:rsid w:val="00BE5B64"/>
    <w:rsid w:val="00C010EF"/>
    <w:rsid w:val="00C0113F"/>
    <w:rsid w:val="00C052DA"/>
    <w:rsid w:val="00C07CF3"/>
    <w:rsid w:val="00C15E7F"/>
    <w:rsid w:val="00C175DA"/>
    <w:rsid w:val="00C37DDF"/>
    <w:rsid w:val="00C60F35"/>
    <w:rsid w:val="00C77764"/>
    <w:rsid w:val="00C82EBC"/>
    <w:rsid w:val="00C857B7"/>
    <w:rsid w:val="00C909C3"/>
    <w:rsid w:val="00CA0540"/>
    <w:rsid w:val="00CB3DA2"/>
    <w:rsid w:val="00CB7C71"/>
    <w:rsid w:val="00CC63C0"/>
    <w:rsid w:val="00CD26B2"/>
    <w:rsid w:val="00CE00BF"/>
    <w:rsid w:val="00CE590A"/>
    <w:rsid w:val="00CF25D5"/>
    <w:rsid w:val="00CF4F1B"/>
    <w:rsid w:val="00CF5D7D"/>
    <w:rsid w:val="00CF71C8"/>
    <w:rsid w:val="00D03B5A"/>
    <w:rsid w:val="00D05803"/>
    <w:rsid w:val="00D226AC"/>
    <w:rsid w:val="00D24F05"/>
    <w:rsid w:val="00D25533"/>
    <w:rsid w:val="00D27F36"/>
    <w:rsid w:val="00D34F76"/>
    <w:rsid w:val="00D36EAF"/>
    <w:rsid w:val="00D4074E"/>
    <w:rsid w:val="00D43830"/>
    <w:rsid w:val="00D45C03"/>
    <w:rsid w:val="00D4611D"/>
    <w:rsid w:val="00D51724"/>
    <w:rsid w:val="00D53AB8"/>
    <w:rsid w:val="00D61BB1"/>
    <w:rsid w:val="00D61E26"/>
    <w:rsid w:val="00D7560F"/>
    <w:rsid w:val="00D767A8"/>
    <w:rsid w:val="00D76E1E"/>
    <w:rsid w:val="00D77C58"/>
    <w:rsid w:val="00D77ED4"/>
    <w:rsid w:val="00D824A2"/>
    <w:rsid w:val="00D84BC8"/>
    <w:rsid w:val="00D85EE8"/>
    <w:rsid w:val="00DB1111"/>
    <w:rsid w:val="00DC3DB7"/>
    <w:rsid w:val="00DC5588"/>
    <w:rsid w:val="00DD481B"/>
    <w:rsid w:val="00DE1483"/>
    <w:rsid w:val="00DE148C"/>
    <w:rsid w:val="00DF00FA"/>
    <w:rsid w:val="00DF1742"/>
    <w:rsid w:val="00DF5562"/>
    <w:rsid w:val="00E00AA2"/>
    <w:rsid w:val="00E15F5F"/>
    <w:rsid w:val="00E20947"/>
    <w:rsid w:val="00E24B03"/>
    <w:rsid w:val="00E27AE1"/>
    <w:rsid w:val="00E3043E"/>
    <w:rsid w:val="00E4434A"/>
    <w:rsid w:val="00E4646D"/>
    <w:rsid w:val="00E51361"/>
    <w:rsid w:val="00E55C91"/>
    <w:rsid w:val="00E57988"/>
    <w:rsid w:val="00E57B5B"/>
    <w:rsid w:val="00E6008C"/>
    <w:rsid w:val="00E624B7"/>
    <w:rsid w:val="00E654A4"/>
    <w:rsid w:val="00E7043C"/>
    <w:rsid w:val="00E8083B"/>
    <w:rsid w:val="00E87F55"/>
    <w:rsid w:val="00E914E4"/>
    <w:rsid w:val="00E9606E"/>
    <w:rsid w:val="00EA091E"/>
    <w:rsid w:val="00EC2B9F"/>
    <w:rsid w:val="00ED1E31"/>
    <w:rsid w:val="00ED57B0"/>
    <w:rsid w:val="00EF7029"/>
    <w:rsid w:val="00F043B0"/>
    <w:rsid w:val="00F11B2C"/>
    <w:rsid w:val="00F143FF"/>
    <w:rsid w:val="00F327C7"/>
    <w:rsid w:val="00F40EB0"/>
    <w:rsid w:val="00F45736"/>
    <w:rsid w:val="00F517EF"/>
    <w:rsid w:val="00F5381F"/>
    <w:rsid w:val="00F54E87"/>
    <w:rsid w:val="00F73970"/>
    <w:rsid w:val="00F75176"/>
    <w:rsid w:val="00F77944"/>
    <w:rsid w:val="00F82C41"/>
    <w:rsid w:val="00F95703"/>
    <w:rsid w:val="00FA4FFC"/>
    <w:rsid w:val="00FB00C0"/>
    <w:rsid w:val="00FB17D1"/>
    <w:rsid w:val="00FC4491"/>
    <w:rsid w:val="00FC7DB2"/>
    <w:rsid w:val="00FD0E40"/>
    <w:rsid w:val="00FD3121"/>
    <w:rsid w:val="00FD4566"/>
    <w:rsid w:val="00FE1670"/>
    <w:rsid w:val="00FE699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276A84B5"/>
  <w15:docId w15:val="{F1CCE132-A53C-144F-A7BD-E9E3D956E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A4FFC"/>
    <w:pPr>
      <w:spacing w:after="0" w:line="240" w:lineRule="auto"/>
    </w:pPr>
    <w:rPr>
      <w:rFonts w:eastAsiaTheme="minorHAnsi"/>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A4FFC"/>
    <w:pPr>
      <w:tabs>
        <w:tab w:val="center" w:pos="4680"/>
        <w:tab w:val="right" w:pos="9360"/>
      </w:tabs>
    </w:pPr>
  </w:style>
  <w:style w:type="character" w:customStyle="1" w:styleId="IntestazioneCarattere">
    <w:name w:val="Intestazione Carattere"/>
    <w:basedOn w:val="Carpredefinitoparagrafo"/>
    <w:link w:val="Intestazione"/>
    <w:uiPriority w:val="99"/>
    <w:rsid w:val="00FA4FFC"/>
    <w:rPr>
      <w:rFonts w:eastAsiaTheme="minorHAnsi"/>
      <w:sz w:val="24"/>
      <w:szCs w:val="24"/>
      <w:lang w:eastAsia="en-US"/>
    </w:rPr>
  </w:style>
  <w:style w:type="character" w:styleId="Rimandocommento">
    <w:name w:val="annotation reference"/>
    <w:uiPriority w:val="99"/>
    <w:semiHidden/>
    <w:unhideWhenUsed/>
    <w:rsid w:val="00FA4FFC"/>
    <w:rPr>
      <w:sz w:val="16"/>
      <w:szCs w:val="16"/>
    </w:rPr>
  </w:style>
  <w:style w:type="paragraph" w:styleId="Testocommento">
    <w:name w:val="annotation text"/>
    <w:basedOn w:val="Normale"/>
    <w:link w:val="TestocommentoCarattere"/>
    <w:uiPriority w:val="99"/>
    <w:unhideWhenUsed/>
    <w:rsid w:val="00FA4FFC"/>
    <w:pPr>
      <w:spacing w:after="200"/>
    </w:pPr>
    <w:rPr>
      <w:rFonts w:ascii="Calibri" w:eastAsia="Times New Roman" w:hAnsi="Calibri" w:cs="Times New Roman"/>
      <w:sz w:val="20"/>
      <w:szCs w:val="20"/>
    </w:rPr>
  </w:style>
  <w:style w:type="character" w:customStyle="1" w:styleId="TestocommentoCarattere">
    <w:name w:val="Testo commento Carattere"/>
    <w:basedOn w:val="Carpredefinitoparagrafo"/>
    <w:link w:val="Testocommento"/>
    <w:uiPriority w:val="99"/>
    <w:rsid w:val="00FA4FFC"/>
    <w:rPr>
      <w:rFonts w:ascii="Calibri" w:eastAsia="Times New Roman" w:hAnsi="Calibri" w:cs="Times New Roman"/>
      <w:sz w:val="20"/>
      <w:szCs w:val="20"/>
      <w:lang w:eastAsia="en-US"/>
    </w:rPr>
  </w:style>
  <w:style w:type="paragraph" w:styleId="NormaleWeb">
    <w:name w:val="Normal (Web)"/>
    <w:basedOn w:val="Normale"/>
    <w:uiPriority w:val="99"/>
    <w:unhideWhenUsed/>
    <w:rsid w:val="00FA4FFC"/>
    <w:pPr>
      <w:spacing w:before="100" w:beforeAutospacing="1" w:after="100" w:afterAutospacing="1"/>
    </w:pPr>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FA4FF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A4FFC"/>
    <w:rPr>
      <w:rFonts w:ascii="Segoe UI" w:eastAsiaTheme="minorHAnsi" w:hAnsi="Segoe UI" w:cs="Segoe UI"/>
      <w:sz w:val="18"/>
      <w:szCs w:val="18"/>
      <w:lang w:eastAsia="en-US"/>
    </w:rPr>
  </w:style>
  <w:style w:type="paragraph" w:styleId="Soggettocommento">
    <w:name w:val="annotation subject"/>
    <w:basedOn w:val="Testocommento"/>
    <w:next w:val="Testocommento"/>
    <w:link w:val="SoggettocommentoCarattere"/>
    <w:uiPriority w:val="99"/>
    <w:semiHidden/>
    <w:unhideWhenUsed/>
    <w:rsid w:val="00DF1742"/>
    <w:pPr>
      <w:spacing w:after="0"/>
    </w:pPr>
    <w:rPr>
      <w:rFonts w:asciiTheme="minorHAnsi" w:eastAsiaTheme="minorHAnsi" w:hAnsiTheme="minorHAnsi" w:cstheme="minorBidi"/>
      <w:b/>
      <w:bCs/>
    </w:rPr>
  </w:style>
  <w:style w:type="character" w:customStyle="1" w:styleId="SoggettocommentoCarattere">
    <w:name w:val="Soggetto commento Carattere"/>
    <w:basedOn w:val="TestocommentoCarattere"/>
    <w:link w:val="Soggettocommento"/>
    <w:uiPriority w:val="99"/>
    <w:semiHidden/>
    <w:rsid w:val="00DF1742"/>
    <w:rPr>
      <w:rFonts w:ascii="Calibri" w:eastAsiaTheme="minorHAnsi" w:hAnsi="Calibri" w:cs="Times New Roman"/>
      <w:b/>
      <w:bCs/>
      <w:sz w:val="20"/>
      <w:szCs w:val="20"/>
      <w:lang w:eastAsia="en-US"/>
    </w:rPr>
  </w:style>
  <w:style w:type="paragraph" w:styleId="Pidipagina">
    <w:name w:val="footer"/>
    <w:basedOn w:val="Normale"/>
    <w:link w:val="PidipaginaCarattere"/>
    <w:uiPriority w:val="99"/>
    <w:unhideWhenUsed/>
    <w:rsid w:val="0027559D"/>
    <w:pPr>
      <w:tabs>
        <w:tab w:val="center" w:pos="4680"/>
        <w:tab w:val="right" w:pos="9360"/>
      </w:tabs>
    </w:pPr>
  </w:style>
  <w:style w:type="character" w:customStyle="1" w:styleId="PidipaginaCarattere">
    <w:name w:val="Piè di pagina Carattere"/>
    <w:basedOn w:val="Carpredefinitoparagrafo"/>
    <w:link w:val="Pidipagina"/>
    <w:uiPriority w:val="99"/>
    <w:rsid w:val="0027559D"/>
    <w:rPr>
      <w:rFonts w:eastAsiaTheme="minorHAnsi"/>
      <w:sz w:val="24"/>
      <w:szCs w:val="24"/>
      <w:lang w:eastAsia="en-US"/>
    </w:rPr>
  </w:style>
  <w:style w:type="character" w:styleId="Collegamentoipertestuale">
    <w:name w:val="Hyperlink"/>
    <w:uiPriority w:val="99"/>
    <w:unhideWhenUsed/>
    <w:rsid w:val="0095092A"/>
    <w:rPr>
      <w:color w:val="0000FF"/>
      <w:u w:val="single"/>
    </w:rPr>
  </w:style>
  <w:style w:type="table" w:styleId="Grigliatabella">
    <w:name w:val="Table Grid"/>
    <w:basedOn w:val="Tabellanormale"/>
    <w:uiPriority w:val="39"/>
    <w:rsid w:val="00C052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basedOn w:val="Carpredefinitoparagrafo"/>
    <w:link w:val="Paragrafoelenco"/>
    <w:uiPriority w:val="34"/>
    <w:locked/>
    <w:rsid w:val="00FD4566"/>
    <w:rPr>
      <w:rFonts w:ascii="Calibri" w:hAnsi="Calibri"/>
    </w:rPr>
  </w:style>
  <w:style w:type="paragraph" w:styleId="Paragrafoelenco">
    <w:name w:val="List Paragraph"/>
    <w:basedOn w:val="Normale"/>
    <w:link w:val="ParagrafoelencoCarattere"/>
    <w:uiPriority w:val="34"/>
    <w:qFormat/>
    <w:rsid w:val="00FD4566"/>
    <w:pPr>
      <w:ind w:left="720"/>
    </w:pPr>
    <w:rPr>
      <w:rFonts w:ascii="Calibri" w:eastAsiaTheme="minorEastAsia" w:hAnsi="Calibri"/>
      <w:sz w:val="22"/>
      <w:szCs w:val="22"/>
      <w:lang w:eastAsia="zh-CN"/>
    </w:rPr>
  </w:style>
  <w:style w:type="character" w:customStyle="1" w:styleId="bwuline">
    <w:name w:val="bwuline"/>
    <w:basedOn w:val="Carpredefinitoparagrafo"/>
    <w:rsid w:val="007A3967"/>
  </w:style>
  <w:style w:type="character" w:customStyle="1" w:styleId="apple-converted-space">
    <w:name w:val="apple-converted-space"/>
    <w:basedOn w:val="Carpredefinitoparagrafo"/>
    <w:rsid w:val="007A3967"/>
  </w:style>
  <w:style w:type="paragraph" w:customStyle="1" w:styleId="bwalignc">
    <w:name w:val="bwalignc"/>
    <w:basedOn w:val="Normale"/>
    <w:rsid w:val="001978A2"/>
    <w:pPr>
      <w:spacing w:before="100" w:beforeAutospacing="1" w:after="100" w:afterAutospacing="1"/>
    </w:pPr>
    <w:rPr>
      <w:rFonts w:ascii="Times" w:eastAsia="Times New Roman" w:hAnsi="Times" w:cs="Times New Roman"/>
      <w:sz w:val="20"/>
      <w:szCs w:val="20"/>
    </w:rPr>
  </w:style>
  <w:style w:type="paragraph" w:styleId="Revisione">
    <w:name w:val="Revision"/>
    <w:hidden/>
    <w:uiPriority w:val="99"/>
    <w:semiHidden/>
    <w:rsid w:val="00E15F5F"/>
    <w:pPr>
      <w:spacing w:after="0" w:line="240" w:lineRule="auto"/>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4735">
      <w:bodyDiv w:val="1"/>
      <w:marLeft w:val="0"/>
      <w:marRight w:val="0"/>
      <w:marTop w:val="0"/>
      <w:marBottom w:val="0"/>
      <w:divBdr>
        <w:top w:val="none" w:sz="0" w:space="0" w:color="auto"/>
        <w:left w:val="none" w:sz="0" w:space="0" w:color="auto"/>
        <w:bottom w:val="none" w:sz="0" w:space="0" w:color="auto"/>
        <w:right w:val="none" w:sz="0" w:space="0" w:color="auto"/>
      </w:divBdr>
    </w:div>
    <w:div w:id="1078675151">
      <w:bodyDiv w:val="1"/>
      <w:marLeft w:val="0"/>
      <w:marRight w:val="0"/>
      <w:marTop w:val="0"/>
      <w:marBottom w:val="0"/>
      <w:divBdr>
        <w:top w:val="none" w:sz="0" w:space="0" w:color="auto"/>
        <w:left w:val="none" w:sz="0" w:space="0" w:color="auto"/>
        <w:bottom w:val="none" w:sz="0" w:space="0" w:color="auto"/>
        <w:right w:val="none" w:sz="0" w:space="0" w:color="auto"/>
      </w:divBdr>
    </w:div>
    <w:div w:id="1611400678">
      <w:bodyDiv w:val="1"/>
      <w:marLeft w:val="0"/>
      <w:marRight w:val="0"/>
      <w:marTop w:val="0"/>
      <w:marBottom w:val="0"/>
      <w:divBdr>
        <w:top w:val="none" w:sz="0" w:space="0" w:color="auto"/>
        <w:left w:val="none" w:sz="0" w:space="0" w:color="auto"/>
        <w:bottom w:val="none" w:sz="0" w:space="0" w:color="auto"/>
        <w:right w:val="none" w:sz="0" w:space="0" w:color="auto"/>
      </w:divBdr>
    </w:div>
    <w:div w:id="1665745329">
      <w:bodyDiv w:val="1"/>
      <w:marLeft w:val="0"/>
      <w:marRight w:val="0"/>
      <w:marTop w:val="0"/>
      <w:marBottom w:val="0"/>
      <w:divBdr>
        <w:top w:val="none" w:sz="0" w:space="0" w:color="auto"/>
        <w:left w:val="none" w:sz="0" w:space="0" w:color="auto"/>
        <w:bottom w:val="none" w:sz="0" w:space="0" w:color="auto"/>
        <w:right w:val="none" w:sz="0" w:space="0" w:color="auto"/>
      </w:divBdr>
    </w:div>
    <w:div w:id="2056267776">
      <w:bodyDiv w:val="1"/>
      <w:marLeft w:val="0"/>
      <w:marRight w:val="0"/>
      <w:marTop w:val="0"/>
      <w:marBottom w:val="0"/>
      <w:divBdr>
        <w:top w:val="none" w:sz="0" w:space="0" w:color="auto"/>
        <w:left w:val="none" w:sz="0" w:space="0" w:color="auto"/>
        <w:bottom w:val="none" w:sz="0" w:space="0" w:color="auto"/>
        <w:right w:val="none" w:sz="0" w:space="0" w:color="auto"/>
      </w:divBdr>
    </w:div>
    <w:div w:id="213517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termedia@intermedianews.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zia.lomastro@bm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AF4FBD0EF6344282D2A6B5A41CE740" ma:contentTypeVersion="13" ma:contentTypeDescription="Create a new document." ma:contentTypeScope="" ma:versionID="c29df518a341138b122b05f43772a428">
  <xsd:schema xmlns:xsd="http://www.w3.org/2001/XMLSchema" xmlns:xs="http://www.w3.org/2001/XMLSchema" xmlns:p="http://schemas.microsoft.com/office/2006/metadata/properties" xmlns:ns3="42a8c8f4-2b3f-487c-a2c0-52867899e17f" xmlns:ns4="f277241c-0a06-40ed-80e7-db15976b983c" targetNamespace="http://schemas.microsoft.com/office/2006/metadata/properties" ma:root="true" ma:fieldsID="64329635699c4bd936a03e493d7751ef" ns3:_="" ns4:_="">
    <xsd:import namespace="42a8c8f4-2b3f-487c-a2c0-52867899e17f"/>
    <xsd:import namespace="f277241c-0a06-40ed-80e7-db15976b983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c8f4-2b3f-487c-a2c0-52867899e1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77241c-0a06-40ed-80e7-db15976b983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801B1-E352-4480-AFCC-CDDBAD9872E4}">
  <ds:schemaRefs>
    <ds:schemaRef ds:uri="http://schemas.microsoft.com/sharepoint/v3/contenttype/forms"/>
  </ds:schemaRefs>
</ds:datastoreItem>
</file>

<file path=customXml/itemProps2.xml><?xml version="1.0" encoding="utf-8"?>
<ds:datastoreItem xmlns:ds="http://schemas.openxmlformats.org/officeDocument/2006/customXml" ds:itemID="{1DAF590A-82D1-420B-B180-56519E56A3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F752DF-6CA0-46D7-A5D1-F9889B9B9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c8f4-2b3f-487c-a2c0-52867899e17f"/>
    <ds:schemaRef ds:uri="f277241c-0a06-40ed-80e7-db15976b98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54C74F-A198-1240-81C4-C1EFCEC46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2070</Words>
  <Characters>11801</Characters>
  <Application>Microsoft Office Word</Application>
  <DocSecurity>0</DocSecurity>
  <Lines>98</Lines>
  <Paragraphs>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Rutstein, Mark</dc:creator>
  <cp:lastModifiedBy>Paolo Cabra</cp:lastModifiedBy>
  <cp:revision>7</cp:revision>
  <dcterms:created xsi:type="dcterms:W3CDTF">2020-05-20T13:31:00Z</dcterms:created>
  <dcterms:modified xsi:type="dcterms:W3CDTF">2020-05-21T07:01:00Z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0x01010057AF4FBD0EF6344282D2A6B5A41CE740</vt:lpwstr>
  </property>
</Properties>
</file>