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C9A60" w14:textId="77777777" w:rsidR="00B3416D" w:rsidRDefault="00B3416D" w:rsidP="00B04398">
      <w:pPr>
        <w:ind w:right="120"/>
        <w:rPr>
          <w:rFonts w:ascii="Trebuchet MS" w:hAnsi="Trebuchet MS" w:cs="Times New Roman"/>
          <w:b/>
          <w:sz w:val="22"/>
          <w:szCs w:val="22"/>
        </w:rPr>
      </w:pPr>
    </w:p>
    <w:p w14:paraId="74FC365D" w14:textId="3CE58059" w:rsidR="00B3416D" w:rsidRPr="00EB063F" w:rsidRDefault="00B3416D" w:rsidP="004047F5">
      <w:pPr>
        <w:ind w:right="120"/>
        <w:jc w:val="center"/>
        <w:rPr>
          <w:rFonts w:ascii="Times New Roman" w:hAnsi="Times New Roman" w:cs="Times New Roman"/>
          <w:b/>
          <w:sz w:val="28"/>
          <w:szCs w:val="28"/>
          <w:lang w:val="it-IT"/>
        </w:rPr>
      </w:pPr>
      <w:r w:rsidRPr="00EB063F">
        <w:rPr>
          <w:rFonts w:ascii="Times New Roman" w:hAnsi="Times New Roman" w:cs="Times New Roman"/>
          <w:b/>
          <w:sz w:val="28"/>
          <w:szCs w:val="28"/>
          <w:lang w:val="it-IT"/>
        </w:rPr>
        <w:t>COMUNICATO STAMPA</w:t>
      </w:r>
    </w:p>
    <w:p w14:paraId="4B4E752D" w14:textId="77777777" w:rsidR="00B3416D" w:rsidRPr="00EB063F" w:rsidRDefault="00B3416D" w:rsidP="004047F5">
      <w:pPr>
        <w:ind w:right="120"/>
        <w:jc w:val="center"/>
        <w:rPr>
          <w:rFonts w:ascii="Times New Roman" w:hAnsi="Times New Roman" w:cs="Times New Roman"/>
          <w:b/>
          <w:lang w:val="it-IT"/>
        </w:rPr>
      </w:pPr>
    </w:p>
    <w:p w14:paraId="30DCB2B3" w14:textId="3C53FED4" w:rsidR="00865024" w:rsidRPr="00EB063F" w:rsidRDefault="00114832" w:rsidP="004047F5">
      <w:pPr>
        <w:ind w:right="120"/>
        <w:jc w:val="center"/>
        <w:rPr>
          <w:rFonts w:ascii="Times New Roman" w:hAnsi="Times New Roman" w:cs="Times New Roman"/>
          <w:b/>
          <w:sz w:val="28"/>
          <w:szCs w:val="28"/>
          <w:lang w:val="it-IT"/>
        </w:rPr>
      </w:pPr>
      <w:r w:rsidRPr="00EB063F">
        <w:rPr>
          <w:rFonts w:ascii="Times New Roman" w:hAnsi="Times New Roman" w:cs="Times New Roman"/>
          <w:b/>
          <w:sz w:val="28"/>
          <w:szCs w:val="28"/>
          <w:lang w:val="it-IT"/>
        </w:rPr>
        <w:t xml:space="preserve">I dati a </w:t>
      </w:r>
      <w:r w:rsidR="00276CDD" w:rsidRPr="00EB063F">
        <w:rPr>
          <w:rFonts w:ascii="Times New Roman" w:hAnsi="Times New Roman" w:cs="Times New Roman"/>
          <w:b/>
          <w:sz w:val="28"/>
          <w:szCs w:val="28"/>
          <w:lang w:val="it-IT"/>
        </w:rPr>
        <w:t>quattro</w:t>
      </w:r>
      <w:r w:rsidRPr="00EB063F">
        <w:rPr>
          <w:rFonts w:ascii="Times New Roman" w:hAnsi="Times New Roman" w:cs="Times New Roman"/>
          <w:b/>
          <w:sz w:val="28"/>
          <w:szCs w:val="28"/>
          <w:lang w:val="it-IT"/>
        </w:rPr>
        <w:t xml:space="preserve"> anni continuano a mostrare</w:t>
      </w:r>
      <w:r w:rsidR="00A21FD3" w:rsidRPr="00EB063F">
        <w:rPr>
          <w:rFonts w:ascii="Times New Roman" w:hAnsi="Times New Roman" w:cs="Times New Roman"/>
          <w:b/>
          <w:sz w:val="28"/>
          <w:szCs w:val="28"/>
          <w:lang w:val="it-IT"/>
        </w:rPr>
        <w:t xml:space="preserve"> un</w:t>
      </w:r>
      <w:r w:rsidRPr="00EB063F">
        <w:rPr>
          <w:rFonts w:ascii="Times New Roman" w:hAnsi="Times New Roman" w:cs="Times New Roman"/>
          <w:b/>
          <w:sz w:val="28"/>
          <w:szCs w:val="28"/>
          <w:lang w:val="it-IT"/>
        </w:rPr>
        <w:t xml:space="preserve"> beneficio superiore </w:t>
      </w:r>
      <w:r w:rsidR="00D13470" w:rsidRPr="00EB063F">
        <w:rPr>
          <w:rFonts w:ascii="Times New Roman" w:hAnsi="Times New Roman" w:cs="Times New Roman"/>
          <w:b/>
          <w:sz w:val="28"/>
          <w:szCs w:val="28"/>
          <w:lang w:val="it-IT"/>
        </w:rPr>
        <w:t xml:space="preserve">nella </w:t>
      </w:r>
      <w:r w:rsidRPr="00EB063F">
        <w:rPr>
          <w:rFonts w:ascii="Times New Roman" w:hAnsi="Times New Roman" w:cs="Times New Roman"/>
          <w:b/>
          <w:sz w:val="28"/>
          <w:szCs w:val="28"/>
          <w:lang w:val="it-IT"/>
        </w:rPr>
        <w:t xml:space="preserve">sopravvivenza </w:t>
      </w:r>
      <w:r w:rsidR="00D13470" w:rsidRPr="00EB063F">
        <w:rPr>
          <w:rFonts w:ascii="Times New Roman" w:hAnsi="Times New Roman" w:cs="Times New Roman"/>
          <w:b/>
          <w:sz w:val="28"/>
          <w:szCs w:val="28"/>
          <w:lang w:val="it-IT"/>
        </w:rPr>
        <w:t xml:space="preserve">a lungo termine </w:t>
      </w:r>
      <w:r w:rsidR="00276CDD" w:rsidRPr="00EB063F">
        <w:rPr>
          <w:rFonts w:ascii="Times New Roman" w:hAnsi="Times New Roman" w:cs="Times New Roman"/>
          <w:b/>
          <w:sz w:val="28"/>
          <w:szCs w:val="28"/>
          <w:lang w:val="it-IT"/>
        </w:rPr>
        <w:t xml:space="preserve">con </w:t>
      </w:r>
      <w:proofErr w:type="spellStart"/>
      <w:r w:rsidR="00D0318E" w:rsidRPr="00EB063F">
        <w:rPr>
          <w:rFonts w:ascii="Times New Roman" w:hAnsi="Times New Roman" w:cs="Times New Roman"/>
          <w:b/>
          <w:sz w:val="28"/>
          <w:szCs w:val="28"/>
          <w:lang w:val="it-IT"/>
        </w:rPr>
        <w:t>nivolumab</w:t>
      </w:r>
      <w:proofErr w:type="spellEnd"/>
      <w:r w:rsidR="00276CDD" w:rsidRPr="00EB063F">
        <w:rPr>
          <w:rFonts w:ascii="Times New Roman" w:hAnsi="Times New Roman" w:cs="Times New Roman"/>
          <w:b/>
          <w:sz w:val="28"/>
          <w:szCs w:val="28"/>
          <w:lang w:val="it-IT"/>
        </w:rPr>
        <w:t xml:space="preserve"> </w:t>
      </w:r>
      <w:r w:rsidR="00C135F2">
        <w:rPr>
          <w:rFonts w:ascii="Times New Roman" w:hAnsi="Times New Roman" w:cs="Times New Roman"/>
          <w:b/>
          <w:sz w:val="28"/>
          <w:szCs w:val="28"/>
          <w:lang w:val="it-IT"/>
        </w:rPr>
        <w:t>in associazione a</w:t>
      </w:r>
      <w:r w:rsidR="00BF4796">
        <w:rPr>
          <w:rFonts w:ascii="Times New Roman" w:hAnsi="Times New Roman" w:cs="Times New Roman"/>
          <w:b/>
          <w:sz w:val="28"/>
          <w:szCs w:val="28"/>
          <w:lang w:val="it-IT"/>
        </w:rPr>
        <w:t>d</w:t>
      </w:r>
      <w:r w:rsidR="00C135F2" w:rsidRPr="00EB063F">
        <w:rPr>
          <w:rFonts w:ascii="Times New Roman" w:hAnsi="Times New Roman" w:cs="Times New Roman"/>
          <w:b/>
          <w:sz w:val="28"/>
          <w:szCs w:val="28"/>
          <w:lang w:val="it-IT"/>
        </w:rPr>
        <w:t xml:space="preserve"> </w:t>
      </w:r>
      <w:proofErr w:type="spellStart"/>
      <w:r w:rsidR="00D0318E" w:rsidRPr="00EB063F">
        <w:rPr>
          <w:rFonts w:ascii="Times New Roman" w:hAnsi="Times New Roman" w:cs="Times New Roman"/>
          <w:b/>
          <w:sz w:val="28"/>
          <w:szCs w:val="28"/>
          <w:lang w:val="it-IT"/>
        </w:rPr>
        <w:t>ipilimumab</w:t>
      </w:r>
      <w:proofErr w:type="spellEnd"/>
      <w:r w:rsidR="00276CDD" w:rsidRPr="00EB063F">
        <w:rPr>
          <w:rFonts w:ascii="Times New Roman" w:hAnsi="Times New Roman" w:cs="Times New Roman"/>
          <w:b/>
          <w:sz w:val="28"/>
          <w:szCs w:val="28"/>
          <w:lang w:val="it-IT"/>
        </w:rPr>
        <w:t xml:space="preserve"> nei pazienti con carcinoma a cellule renali avanzato non precedentemente trattato o metastatico</w:t>
      </w:r>
    </w:p>
    <w:p w14:paraId="4C4587A8" w14:textId="77777777" w:rsidR="00AE7AFB" w:rsidRPr="00EB063F" w:rsidRDefault="00AE7AFB" w:rsidP="00AE7AFB">
      <w:pPr>
        <w:ind w:right="120"/>
        <w:rPr>
          <w:rFonts w:ascii="Times New Roman" w:hAnsi="Times New Roman" w:cs="Times New Roman"/>
          <w:b/>
          <w:lang w:val="it-IT"/>
        </w:rPr>
      </w:pPr>
    </w:p>
    <w:p w14:paraId="22721578" w14:textId="7D63DB56" w:rsidR="00AE7AFB" w:rsidRPr="00EB063F" w:rsidRDefault="00276CDD" w:rsidP="00AE7AFB">
      <w:pPr>
        <w:ind w:right="120"/>
        <w:jc w:val="center"/>
        <w:rPr>
          <w:rFonts w:ascii="Times New Roman" w:hAnsi="Times New Roman" w:cs="Times New Roman"/>
          <w:bCs/>
          <w:i/>
          <w:iCs/>
          <w:lang w:val="it-IT"/>
        </w:rPr>
      </w:pPr>
      <w:r w:rsidRPr="00EB063F">
        <w:rPr>
          <w:rFonts w:ascii="Times New Roman" w:hAnsi="Times New Roman" w:cs="Times New Roman"/>
          <w:bCs/>
          <w:i/>
          <w:iCs/>
          <w:lang w:val="it-IT"/>
        </w:rPr>
        <w:t xml:space="preserve">Più del </w:t>
      </w:r>
      <w:r w:rsidR="00AE7AFB" w:rsidRPr="00EB063F">
        <w:rPr>
          <w:rFonts w:ascii="Times New Roman" w:hAnsi="Times New Roman" w:cs="Times New Roman"/>
          <w:bCs/>
          <w:i/>
          <w:iCs/>
          <w:lang w:val="it-IT"/>
        </w:rPr>
        <w:t xml:space="preserve">50% </w:t>
      </w:r>
      <w:r w:rsidRPr="00EB063F">
        <w:rPr>
          <w:rFonts w:ascii="Times New Roman" w:hAnsi="Times New Roman" w:cs="Times New Roman"/>
          <w:bCs/>
          <w:i/>
          <w:iCs/>
          <w:lang w:val="it-IT"/>
        </w:rPr>
        <w:t xml:space="preserve">dei pazienti trattati con </w:t>
      </w:r>
      <w:proofErr w:type="spellStart"/>
      <w:r w:rsidRPr="00EB063F">
        <w:rPr>
          <w:rFonts w:ascii="Times New Roman" w:hAnsi="Times New Roman" w:cs="Times New Roman"/>
          <w:bCs/>
          <w:i/>
          <w:iCs/>
          <w:lang w:val="it-IT"/>
        </w:rPr>
        <w:t>nivolumab</w:t>
      </w:r>
      <w:proofErr w:type="spellEnd"/>
      <w:r w:rsidRPr="00EB063F">
        <w:rPr>
          <w:rFonts w:ascii="Times New Roman" w:hAnsi="Times New Roman" w:cs="Times New Roman"/>
          <w:bCs/>
          <w:i/>
          <w:iCs/>
          <w:lang w:val="it-IT"/>
        </w:rPr>
        <w:t xml:space="preserve"> </w:t>
      </w:r>
      <w:r w:rsidR="00BF4796">
        <w:rPr>
          <w:rFonts w:ascii="Times New Roman" w:hAnsi="Times New Roman" w:cs="Times New Roman"/>
          <w:bCs/>
          <w:i/>
          <w:iCs/>
          <w:lang w:val="it-IT"/>
        </w:rPr>
        <w:t>in associazione ad</w:t>
      </w:r>
      <w:r w:rsidR="00BF4796" w:rsidRPr="00EB063F">
        <w:rPr>
          <w:rFonts w:ascii="Times New Roman" w:hAnsi="Times New Roman" w:cs="Times New Roman"/>
          <w:bCs/>
          <w:i/>
          <w:iCs/>
          <w:lang w:val="it-IT"/>
        </w:rPr>
        <w:t xml:space="preserve"> </w:t>
      </w:r>
      <w:proofErr w:type="spellStart"/>
      <w:r w:rsidRPr="00EB063F">
        <w:rPr>
          <w:rFonts w:ascii="Times New Roman" w:hAnsi="Times New Roman" w:cs="Times New Roman"/>
          <w:bCs/>
          <w:i/>
          <w:iCs/>
          <w:lang w:val="it-IT"/>
        </w:rPr>
        <w:t>ipilimumab</w:t>
      </w:r>
      <w:proofErr w:type="spellEnd"/>
      <w:r w:rsidRPr="00EB063F">
        <w:rPr>
          <w:rFonts w:ascii="Times New Roman" w:hAnsi="Times New Roman" w:cs="Times New Roman"/>
          <w:bCs/>
          <w:i/>
          <w:iCs/>
          <w:lang w:val="it-IT"/>
        </w:rPr>
        <w:t xml:space="preserve"> è vivo a </w:t>
      </w:r>
      <w:r w:rsidR="00D94E01" w:rsidRPr="00EB063F">
        <w:rPr>
          <w:rFonts w:ascii="Times New Roman" w:hAnsi="Times New Roman" w:cs="Times New Roman"/>
          <w:bCs/>
          <w:i/>
          <w:iCs/>
          <w:lang w:val="it-IT"/>
        </w:rPr>
        <w:t>4</w:t>
      </w:r>
      <w:r w:rsidRPr="00EB063F">
        <w:rPr>
          <w:rFonts w:ascii="Times New Roman" w:hAnsi="Times New Roman" w:cs="Times New Roman"/>
          <w:bCs/>
          <w:i/>
          <w:iCs/>
          <w:lang w:val="it-IT"/>
        </w:rPr>
        <w:t xml:space="preserve"> anni</w:t>
      </w:r>
    </w:p>
    <w:p w14:paraId="261AD140" w14:textId="39F2A864" w:rsidR="008B46E2" w:rsidRPr="00EB063F" w:rsidRDefault="008B46E2" w:rsidP="00077418">
      <w:pPr>
        <w:ind w:right="120"/>
        <w:jc w:val="center"/>
        <w:rPr>
          <w:rFonts w:ascii="Times New Roman" w:hAnsi="Times New Roman" w:cs="Times New Roman"/>
          <w:bCs/>
          <w:i/>
          <w:iCs/>
          <w:lang w:val="it-IT"/>
        </w:rPr>
      </w:pPr>
    </w:p>
    <w:p w14:paraId="6DDA3C12" w14:textId="7AE267A7" w:rsidR="008B46E2" w:rsidRPr="00EB063F" w:rsidRDefault="00276CDD" w:rsidP="008B46E2">
      <w:pPr>
        <w:ind w:right="120"/>
        <w:jc w:val="center"/>
        <w:rPr>
          <w:rFonts w:ascii="Times New Roman" w:hAnsi="Times New Roman" w:cs="Times New Roman"/>
          <w:bCs/>
          <w:i/>
          <w:iCs/>
          <w:lang w:val="it-IT"/>
        </w:rPr>
      </w:pPr>
      <w:r w:rsidRPr="00EB063F">
        <w:rPr>
          <w:rFonts w:ascii="Times New Roman" w:hAnsi="Times New Roman" w:cs="Times New Roman"/>
          <w:bCs/>
          <w:i/>
          <w:iCs/>
          <w:lang w:val="it-IT"/>
        </w:rPr>
        <w:t xml:space="preserve">I pazienti trattati con </w:t>
      </w:r>
      <w:proofErr w:type="spellStart"/>
      <w:r w:rsidRPr="00EB063F">
        <w:rPr>
          <w:rFonts w:ascii="Times New Roman" w:hAnsi="Times New Roman" w:cs="Times New Roman"/>
          <w:bCs/>
          <w:i/>
          <w:iCs/>
          <w:lang w:val="it-IT"/>
        </w:rPr>
        <w:t>nivolumab</w:t>
      </w:r>
      <w:proofErr w:type="spellEnd"/>
      <w:r w:rsidRPr="00EB063F">
        <w:rPr>
          <w:rFonts w:ascii="Times New Roman" w:hAnsi="Times New Roman" w:cs="Times New Roman"/>
          <w:bCs/>
          <w:i/>
          <w:iCs/>
          <w:lang w:val="it-IT"/>
        </w:rPr>
        <w:t xml:space="preserve"> </w:t>
      </w:r>
      <w:r w:rsidR="00BF4796">
        <w:rPr>
          <w:rFonts w:ascii="Times New Roman" w:hAnsi="Times New Roman" w:cs="Times New Roman"/>
          <w:bCs/>
          <w:i/>
          <w:iCs/>
          <w:lang w:val="it-IT"/>
        </w:rPr>
        <w:t>in associazione ad</w:t>
      </w:r>
      <w:r w:rsidRPr="00EB063F">
        <w:rPr>
          <w:rFonts w:ascii="Times New Roman" w:hAnsi="Times New Roman" w:cs="Times New Roman"/>
          <w:bCs/>
          <w:i/>
          <w:iCs/>
          <w:lang w:val="it-IT"/>
        </w:rPr>
        <w:t xml:space="preserve"> </w:t>
      </w:r>
      <w:proofErr w:type="spellStart"/>
      <w:r w:rsidRPr="00EB063F">
        <w:rPr>
          <w:rFonts w:ascii="Times New Roman" w:hAnsi="Times New Roman" w:cs="Times New Roman"/>
          <w:bCs/>
          <w:i/>
          <w:iCs/>
          <w:lang w:val="it-IT"/>
        </w:rPr>
        <w:t>ipilimumab</w:t>
      </w:r>
      <w:proofErr w:type="spellEnd"/>
      <w:r w:rsidRPr="00EB063F">
        <w:rPr>
          <w:rFonts w:ascii="Times New Roman" w:hAnsi="Times New Roman" w:cs="Times New Roman"/>
          <w:bCs/>
          <w:i/>
          <w:iCs/>
          <w:lang w:val="it-IT"/>
        </w:rPr>
        <w:t xml:space="preserve"> hanno mantenuto risposte durature con la combinazione, mostrando un miglioramento della durata della risposta rispetto a </w:t>
      </w:r>
      <w:r w:rsidR="008B46E2" w:rsidRPr="00EB063F">
        <w:rPr>
          <w:rFonts w:ascii="Times New Roman" w:hAnsi="Times New Roman" w:cs="Times New Roman"/>
          <w:bCs/>
          <w:i/>
          <w:iCs/>
          <w:lang w:val="it-IT"/>
        </w:rPr>
        <w:t>sunitinib</w:t>
      </w:r>
    </w:p>
    <w:p w14:paraId="0DAE637B" w14:textId="77777777" w:rsidR="00AE7AFB" w:rsidRPr="00EB063F" w:rsidRDefault="00AE7AFB" w:rsidP="00AE7AFB">
      <w:pPr>
        <w:ind w:right="120"/>
        <w:jc w:val="center"/>
        <w:rPr>
          <w:rFonts w:ascii="Times New Roman" w:hAnsi="Times New Roman" w:cs="Times New Roman"/>
          <w:bCs/>
          <w:i/>
          <w:iCs/>
          <w:lang w:val="it-IT"/>
        </w:rPr>
      </w:pPr>
    </w:p>
    <w:p w14:paraId="762B12B6" w14:textId="5AAF63C8" w:rsidR="00AE7AFB" w:rsidRPr="00EB063F" w:rsidRDefault="00276CDD" w:rsidP="00AE7AFB">
      <w:pPr>
        <w:ind w:right="120"/>
        <w:jc w:val="center"/>
        <w:rPr>
          <w:rFonts w:ascii="Times New Roman" w:hAnsi="Times New Roman" w:cs="Times New Roman"/>
          <w:bCs/>
          <w:i/>
          <w:iCs/>
          <w:lang w:val="it-IT"/>
        </w:rPr>
      </w:pPr>
      <w:r w:rsidRPr="00EB063F">
        <w:rPr>
          <w:rFonts w:ascii="Times New Roman" w:hAnsi="Times New Roman" w:cs="Times New Roman"/>
          <w:bCs/>
          <w:i/>
          <w:iCs/>
          <w:lang w:val="it-IT"/>
        </w:rPr>
        <w:t xml:space="preserve">I risultati aggiornati dello studio di Fase 3 </w:t>
      </w:r>
      <w:r w:rsidR="00AE7AFB" w:rsidRPr="00EB063F">
        <w:rPr>
          <w:rFonts w:ascii="Times New Roman" w:hAnsi="Times New Roman" w:cs="Times New Roman"/>
          <w:bCs/>
          <w:i/>
          <w:iCs/>
          <w:lang w:val="it-IT"/>
        </w:rPr>
        <w:t>CheckMate -214</w:t>
      </w:r>
      <w:r w:rsidR="008B46E2" w:rsidRPr="00EB063F">
        <w:rPr>
          <w:rFonts w:ascii="Times New Roman" w:hAnsi="Times New Roman" w:cs="Times New Roman"/>
          <w:bCs/>
          <w:i/>
          <w:iCs/>
          <w:lang w:val="it-IT"/>
        </w:rPr>
        <w:t>,</w:t>
      </w:r>
      <w:r w:rsidR="00AE7AFB" w:rsidRPr="00EB063F">
        <w:rPr>
          <w:rFonts w:ascii="Times New Roman" w:hAnsi="Times New Roman" w:cs="Times New Roman"/>
          <w:bCs/>
          <w:i/>
          <w:iCs/>
          <w:lang w:val="it-IT"/>
        </w:rPr>
        <w:t xml:space="preserve"> </w:t>
      </w:r>
      <w:r w:rsidRPr="00EB063F">
        <w:rPr>
          <w:rFonts w:ascii="Times New Roman" w:hAnsi="Times New Roman" w:cs="Times New Roman"/>
          <w:bCs/>
          <w:i/>
          <w:iCs/>
          <w:lang w:val="it-IT"/>
        </w:rPr>
        <w:t>presentati al</w:t>
      </w:r>
      <w:r w:rsidR="00B3416D" w:rsidRPr="00EB063F">
        <w:rPr>
          <w:rFonts w:ascii="Times New Roman" w:hAnsi="Times New Roman" w:cs="Times New Roman"/>
          <w:bCs/>
          <w:i/>
          <w:iCs/>
          <w:lang w:val="it-IT"/>
        </w:rPr>
        <w:t xml:space="preserve"> Congresso virtuale </w:t>
      </w:r>
      <w:r w:rsidR="0029452E" w:rsidRPr="00EB063F">
        <w:rPr>
          <w:rFonts w:ascii="Times New Roman" w:hAnsi="Times New Roman" w:cs="Times New Roman"/>
          <w:bCs/>
          <w:i/>
          <w:iCs/>
          <w:lang w:val="it-IT"/>
        </w:rPr>
        <w:t xml:space="preserve">2020 </w:t>
      </w:r>
      <w:r w:rsidR="00B3416D" w:rsidRPr="00EB063F">
        <w:rPr>
          <w:rFonts w:ascii="Times New Roman" w:hAnsi="Times New Roman" w:cs="Times New Roman"/>
          <w:bCs/>
          <w:i/>
          <w:iCs/>
          <w:lang w:val="it-IT"/>
        </w:rPr>
        <w:t>della Società Europea di Oncologia Medica (ESMO)</w:t>
      </w:r>
      <w:r w:rsidR="008B46E2" w:rsidRPr="00EB063F">
        <w:rPr>
          <w:rFonts w:ascii="Times New Roman" w:hAnsi="Times New Roman" w:cs="Times New Roman"/>
          <w:bCs/>
          <w:i/>
          <w:iCs/>
          <w:lang w:val="it-IT"/>
        </w:rPr>
        <w:t>,</w:t>
      </w:r>
      <w:r w:rsidR="00095D68" w:rsidRPr="00EB063F">
        <w:rPr>
          <w:rFonts w:ascii="Times New Roman" w:hAnsi="Times New Roman" w:cs="Times New Roman"/>
          <w:bCs/>
          <w:i/>
          <w:iCs/>
          <w:lang w:val="it-IT"/>
        </w:rPr>
        <w:t xml:space="preserve"> </w:t>
      </w:r>
      <w:r w:rsidRPr="00EB063F">
        <w:rPr>
          <w:rFonts w:ascii="Times New Roman" w:hAnsi="Times New Roman" w:cs="Times New Roman"/>
          <w:bCs/>
          <w:i/>
          <w:iCs/>
          <w:lang w:val="it-IT"/>
        </w:rPr>
        <w:t xml:space="preserve">rappresentano il </w:t>
      </w:r>
      <w:r w:rsidR="000A5A1D" w:rsidRPr="00EB063F">
        <w:rPr>
          <w:rFonts w:ascii="Times New Roman" w:hAnsi="Times New Roman" w:cs="Times New Roman"/>
          <w:bCs/>
          <w:i/>
          <w:iCs/>
          <w:lang w:val="it-IT"/>
        </w:rPr>
        <w:t xml:space="preserve">follow-up </w:t>
      </w:r>
      <w:r w:rsidRPr="00EB063F">
        <w:rPr>
          <w:rFonts w:ascii="Times New Roman" w:hAnsi="Times New Roman" w:cs="Times New Roman"/>
          <w:bCs/>
          <w:i/>
          <w:iCs/>
          <w:lang w:val="it-IT"/>
        </w:rPr>
        <w:t>più lungo</w:t>
      </w:r>
      <w:r w:rsidR="00F30669" w:rsidRPr="00EB063F">
        <w:rPr>
          <w:rFonts w:ascii="Times New Roman" w:hAnsi="Times New Roman" w:cs="Times New Roman"/>
          <w:bCs/>
          <w:i/>
          <w:iCs/>
          <w:lang w:val="it-IT"/>
        </w:rPr>
        <w:t>,</w:t>
      </w:r>
      <w:r w:rsidR="009558B9" w:rsidRPr="00EB063F">
        <w:rPr>
          <w:rFonts w:ascii="Times New Roman" w:hAnsi="Times New Roman" w:cs="Times New Roman"/>
          <w:bCs/>
          <w:i/>
          <w:iCs/>
          <w:lang w:val="it-IT"/>
        </w:rPr>
        <w:t xml:space="preserve"> superiore di</w:t>
      </w:r>
      <w:r w:rsidRPr="00EB063F">
        <w:rPr>
          <w:rFonts w:ascii="Times New Roman" w:hAnsi="Times New Roman" w:cs="Times New Roman"/>
          <w:bCs/>
          <w:i/>
          <w:iCs/>
          <w:lang w:val="it-IT"/>
        </w:rPr>
        <w:t xml:space="preserve"> circa due anni</w:t>
      </w:r>
      <w:r w:rsidR="009558B9" w:rsidRPr="00EB063F">
        <w:rPr>
          <w:rFonts w:ascii="Times New Roman" w:hAnsi="Times New Roman" w:cs="Times New Roman"/>
          <w:bCs/>
          <w:i/>
          <w:iCs/>
          <w:lang w:val="it-IT"/>
        </w:rPr>
        <w:t xml:space="preserve"> rispetto a</w:t>
      </w:r>
      <w:r w:rsidRPr="00EB063F">
        <w:rPr>
          <w:rFonts w:ascii="Times New Roman" w:hAnsi="Times New Roman" w:cs="Times New Roman"/>
          <w:bCs/>
          <w:i/>
          <w:iCs/>
          <w:lang w:val="it-IT"/>
        </w:rPr>
        <w:t xml:space="preserve"> qualsiasi combinazione immunoterapica nel trattamento di prima linea del carcinoma a cellule renali</w:t>
      </w:r>
      <w:r w:rsidR="00B36710" w:rsidRPr="00EB063F">
        <w:rPr>
          <w:rFonts w:ascii="Times New Roman" w:hAnsi="Times New Roman" w:cs="Times New Roman"/>
          <w:bCs/>
          <w:i/>
          <w:iCs/>
          <w:lang w:val="it-IT"/>
        </w:rPr>
        <w:t xml:space="preserve"> </w:t>
      </w:r>
    </w:p>
    <w:p w14:paraId="5DD4D009" w14:textId="60BF1292" w:rsidR="00AE7AFB" w:rsidRPr="00EB063F" w:rsidRDefault="00AE7AFB" w:rsidP="00712DBD">
      <w:pPr>
        <w:ind w:right="120"/>
        <w:rPr>
          <w:rFonts w:ascii="Times New Roman" w:hAnsi="Times New Roman" w:cs="Times New Roman"/>
          <w:bCs/>
          <w:i/>
          <w:iCs/>
          <w:lang w:val="it-IT"/>
        </w:rPr>
      </w:pPr>
    </w:p>
    <w:p w14:paraId="1D38427C" w14:textId="77777777" w:rsidR="00A21FD3" w:rsidRPr="00EB063F" w:rsidRDefault="00A21FD3" w:rsidP="00712DBD">
      <w:pPr>
        <w:ind w:right="120"/>
        <w:rPr>
          <w:rFonts w:ascii="Times New Roman" w:hAnsi="Times New Roman" w:cs="Times New Roman"/>
          <w:bCs/>
          <w:i/>
          <w:iCs/>
          <w:lang w:val="it-IT"/>
        </w:rPr>
      </w:pPr>
    </w:p>
    <w:p w14:paraId="71777F7F" w14:textId="277085B4" w:rsidR="00424393" w:rsidRPr="00EB063F" w:rsidRDefault="00712DBD" w:rsidP="00B3416D">
      <w:pPr>
        <w:spacing w:line="360" w:lineRule="auto"/>
        <w:ind w:firstLine="720"/>
        <w:jc w:val="both"/>
        <w:rPr>
          <w:rFonts w:ascii="Times New Roman" w:hAnsi="Times New Roman" w:cs="Times New Roman"/>
          <w:lang w:val="it-IT"/>
        </w:rPr>
      </w:pPr>
      <w:r w:rsidRPr="00B3416D">
        <w:rPr>
          <w:rFonts w:ascii="Times New Roman" w:hAnsi="Times New Roman" w:cs="Times New Roman"/>
          <w:bCs/>
          <w:lang w:val="it-IT"/>
        </w:rPr>
        <w:t>(</w:t>
      </w:r>
      <w:r w:rsidR="008070FD">
        <w:rPr>
          <w:rFonts w:ascii="Times New Roman" w:hAnsi="Times New Roman" w:cs="Times New Roman"/>
          <w:bCs/>
          <w:lang w:val="it-IT"/>
        </w:rPr>
        <w:t>Roma</w:t>
      </w:r>
      <w:r w:rsidRPr="006841F4">
        <w:rPr>
          <w:rFonts w:ascii="Times New Roman" w:hAnsi="Times New Roman" w:cs="Times New Roman"/>
          <w:bCs/>
          <w:lang w:val="it-IT"/>
        </w:rPr>
        <w:t xml:space="preserve">, </w:t>
      </w:r>
      <w:r w:rsidR="004F76BC">
        <w:rPr>
          <w:rFonts w:ascii="Times New Roman" w:hAnsi="Times New Roman" w:cs="Times New Roman"/>
          <w:bCs/>
          <w:lang w:val="it-IT"/>
        </w:rPr>
        <w:t>22</w:t>
      </w:r>
      <w:r w:rsidR="00276CDD" w:rsidRPr="006841F4">
        <w:rPr>
          <w:rFonts w:ascii="Times New Roman" w:hAnsi="Times New Roman" w:cs="Times New Roman"/>
          <w:bCs/>
          <w:lang w:val="it-IT"/>
        </w:rPr>
        <w:t xml:space="preserve"> settembre </w:t>
      </w:r>
      <w:r w:rsidRPr="006841F4">
        <w:rPr>
          <w:rFonts w:ascii="Times New Roman" w:hAnsi="Times New Roman" w:cs="Times New Roman"/>
          <w:bCs/>
          <w:lang w:val="it-IT"/>
        </w:rPr>
        <w:t>2020) –</w:t>
      </w:r>
      <w:r w:rsidR="006841F4" w:rsidRPr="00EB063F">
        <w:rPr>
          <w:lang w:val="it-IT"/>
        </w:rPr>
        <w:t xml:space="preserve"> </w:t>
      </w:r>
      <w:r w:rsidR="006841F4" w:rsidRPr="00EB063F">
        <w:rPr>
          <w:rFonts w:ascii="Times New Roman" w:hAnsi="Times New Roman" w:cs="Times New Roman"/>
          <w:lang w:val="it-IT"/>
        </w:rPr>
        <w:t>Bristol Myers Squibb</w:t>
      </w:r>
      <w:r w:rsidR="006841F4" w:rsidRPr="006841F4">
        <w:rPr>
          <w:rFonts w:ascii="Times New Roman" w:hAnsi="Times New Roman" w:cs="Times New Roman"/>
          <w:bCs/>
          <w:lang w:val="it-IT"/>
        </w:rPr>
        <w:t xml:space="preserve"> </w:t>
      </w:r>
      <w:r w:rsidR="00276CDD" w:rsidRPr="006841F4">
        <w:rPr>
          <w:rFonts w:ascii="Times New Roman" w:hAnsi="Times New Roman" w:cs="Times New Roman"/>
          <w:bCs/>
          <w:lang w:val="it-IT"/>
        </w:rPr>
        <w:t>annuncia che più della metà dei pazienti con carcinoma a cellule renali</w:t>
      </w:r>
      <w:r w:rsidR="00276CDD" w:rsidRPr="00B3416D">
        <w:rPr>
          <w:rFonts w:ascii="Times New Roman" w:hAnsi="Times New Roman" w:cs="Times New Roman"/>
          <w:bCs/>
          <w:lang w:val="it-IT"/>
        </w:rPr>
        <w:t xml:space="preserve"> </w:t>
      </w:r>
      <w:r w:rsidR="009116AF" w:rsidRPr="00B3416D">
        <w:rPr>
          <w:rFonts w:ascii="Times New Roman" w:hAnsi="Times New Roman" w:cs="Times New Roman"/>
          <w:bCs/>
          <w:lang w:val="it-IT"/>
        </w:rPr>
        <w:t xml:space="preserve">(RCC) </w:t>
      </w:r>
      <w:r w:rsidR="00276CDD" w:rsidRPr="00B3416D">
        <w:rPr>
          <w:rFonts w:ascii="Times New Roman" w:hAnsi="Times New Roman" w:cs="Times New Roman"/>
          <w:bCs/>
          <w:lang w:val="it-IT"/>
        </w:rPr>
        <w:t xml:space="preserve">trattati con la combinazione </w:t>
      </w:r>
      <w:proofErr w:type="spellStart"/>
      <w:r w:rsidR="00CE2CE1" w:rsidRPr="00B3416D">
        <w:rPr>
          <w:rFonts w:ascii="Times New Roman" w:hAnsi="Times New Roman" w:cs="Times New Roman"/>
          <w:bCs/>
          <w:lang w:val="it-IT"/>
        </w:rPr>
        <w:t>nivolumab</w:t>
      </w:r>
      <w:proofErr w:type="spellEnd"/>
      <w:r w:rsidR="00276CDD" w:rsidRPr="00B3416D">
        <w:rPr>
          <w:rFonts w:ascii="Times New Roman" w:hAnsi="Times New Roman" w:cs="Times New Roman"/>
          <w:bCs/>
          <w:lang w:val="it-IT"/>
        </w:rPr>
        <w:t xml:space="preserve"> </w:t>
      </w:r>
      <w:r w:rsidR="005F4F23">
        <w:rPr>
          <w:rFonts w:ascii="Times New Roman" w:hAnsi="Times New Roman" w:cs="Times New Roman"/>
          <w:bCs/>
          <w:lang w:val="it-IT"/>
        </w:rPr>
        <w:t>più</w:t>
      </w:r>
      <w:r w:rsidR="00276CDD" w:rsidRPr="00B3416D">
        <w:rPr>
          <w:rFonts w:ascii="Times New Roman" w:hAnsi="Times New Roman" w:cs="Times New Roman"/>
          <w:bCs/>
          <w:i/>
          <w:iCs/>
          <w:lang w:val="it-IT"/>
        </w:rPr>
        <w:t xml:space="preserve"> </w:t>
      </w:r>
      <w:proofErr w:type="spellStart"/>
      <w:r w:rsidR="00CE2CE1" w:rsidRPr="00B3416D">
        <w:rPr>
          <w:rFonts w:ascii="Times New Roman" w:hAnsi="Times New Roman" w:cs="Times New Roman"/>
          <w:bCs/>
          <w:lang w:val="it-IT"/>
        </w:rPr>
        <w:t>ipilimumab</w:t>
      </w:r>
      <w:proofErr w:type="spellEnd"/>
      <w:r w:rsidR="00276CDD" w:rsidRPr="00B3416D">
        <w:rPr>
          <w:rFonts w:ascii="Times New Roman" w:hAnsi="Times New Roman" w:cs="Times New Roman"/>
          <w:bCs/>
          <w:lang w:val="it-IT"/>
        </w:rPr>
        <w:t xml:space="preserve"> è vivo a quattro anni </w:t>
      </w:r>
      <w:r w:rsidR="00D416B3">
        <w:rPr>
          <w:rFonts w:ascii="Times New Roman" w:hAnsi="Times New Roman" w:cs="Times New Roman"/>
          <w:bCs/>
          <w:lang w:val="it-IT"/>
        </w:rPr>
        <w:t>di follo</w:t>
      </w:r>
      <w:r w:rsidR="00227568">
        <w:rPr>
          <w:rFonts w:ascii="Times New Roman" w:hAnsi="Times New Roman" w:cs="Times New Roman"/>
          <w:bCs/>
          <w:lang w:val="it-IT"/>
        </w:rPr>
        <w:t>w</w:t>
      </w:r>
      <w:r w:rsidR="00D416B3">
        <w:rPr>
          <w:rFonts w:ascii="Times New Roman" w:hAnsi="Times New Roman" w:cs="Times New Roman"/>
          <w:bCs/>
          <w:lang w:val="it-IT"/>
        </w:rPr>
        <w:t xml:space="preserve">-up </w:t>
      </w:r>
      <w:r w:rsidR="00276CDD" w:rsidRPr="00B3416D">
        <w:rPr>
          <w:rFonts w:ascii="Times New Roman" w:hAnsi="Times New Roman" w:cs="Times New Roman"/>
          <w:bCs/>
          <w:lang w:val="it-IT"/>
        </w:rPr>
        <w:t xml:space="preserve">nell’intera popolazione dello studio </w:t>
      </w:r>
      <w:r w:rsidR="00D13470" w:rsidRPr="00B3416D">
        <w:rPr>
          <w:rFonts w:ascii="Times New Roman" w:hAnsi="Times New Roman" w:cs="Times New Roman"/>
          <w:bCs/>
          <w:lang w:val="it-IT"/>
        </w:rPr>
        <w:t>clinic</w:t>
      </w:r>
      <w:r w:rsidR="00D94E01" w:rsidRPr="00B3416D">
        <w:rPr>
          <w:rFonts w:ascii="Times New Roman" w:hAnsi="Times New Roman" w:cs="Times New Roman"/>
          <w:bCs/>
          <w:lang w:val="it-IT"/>
        </w:rPr>
        <w:t>o</w:t>
      </w:r>
      <w:r w:rsidR="00D13470" w:rsidRPr="00B3416D">
        <w:rPr>
          <w:rFonts w:ascii="Times New Roman" w:hAnsi="Times New Roman" w:cs="Times New Roman"/>
          <w:bCs/>
          <w:lang w:val="it-IT"/>
        </w:rPr>
        <w:t xml:space="preserve"> di Fase 3 </w:t>
      </w:r>
      <w:r w:rsidR="009116AF" w:rsidRPr="00B3416D">
        <w:rPr>
          <w:rFonts w:ascii="Times New Roman" w:hAnsi="Times New Roman" w:cs="Times New Roman"/>
          <w:bCs/>
          <w:lang w:val="it-IT"/>
        </w:rPr>
        <w:t>CheckMate -214.</w:t>
      </w:r>
      <w:r w:rsidR="004047F5" w:rsidRPr="00B3416D">
        <w:rPr>
          <w:rFonts w:ascii="Times New Roman" w:hAnsi="Times New Roman" w:cs="Times New Roman"/>
          <w:bCs/>
          <w:lang w:val="it-IT"/>
        </w:rPr>
        <w:t> </w:t>
      </w:r>
      <w:r w:rsidR="00D13470" w:rsidRPr="00EB063F">
        <w:rPr>
          <w:rFonts w:ascii="Times New Roman" w:hAnsi="Times New Roman" w:cs="Times New Roman"/>
          <w:bCs/>
          <w:lang w:val="it-IT"/>
        </w:rPr>
        <w:t xml:space="preserve">Con il follow-up </w:t>
      </w:r>
      <w:r w:rsidR="00C356AC" w:rsidRPr="00EB063F">
        <w:rPr>
          <w:rFonts w:ascii="Times New Roman" w:hAnsi="Times New Roman" w:cs="Times New Roman"/>
          <w:bCs/>
          <w:lang w:val="it-IT"/>
        </w:rPr>
        <w:t xml:space="preserve">più lungo </w:t>
      </w:r>
      <w:r w:rsidR="00D13470" w:rsidRPr="00EB063F">
        <w:rPr>
          <w:rFonts w:ascii="Times New Roman" w:hAnsi="Times New Roman" w:cs="Times New Roman"/>
          <w:bCs/>
          <w:lang w:val="it-IT"/>
        </w:rPr>
        <w:t xml:space="preserve">per una combinazione immunoterapica nel carcinoma a cellule renali (RCC) avanzato non precedentemente trattato, </w:t>
      </w:r>
      <w:proofErr w:type="spellStart"/>
      <w:r w:rsidR="00D13470" w:rsidRPr="00EB063F">
        <w:rPr>
          <w:rFonts w:ascii="Times New Roman" w:hAnsi="Times New Roman" w:cs="Times New Roman"/>
          <w:bCs/>
          <w:lang w:val="it-IT"/>
        </w:rPr>
        <w:t>nivolumab</w:t>
      </w:r>
      <w:proofErr w:type="spellEnd"/>
      <w:r w:rsidR="00D13470" w:rsidRPr="00EB063F">
        <w:rPr>
          <w:rFonts w:ascii="Times New Roman" w:hAnsi="Times New Roman" w:cs="Times New Roman"/>
          <w:bCs/>
          <w:lang w:val="it-IT"/>
        </w:rPr>
        <w:t xml:space="preserve"> </w:t>
      </w:r>
      <w:r w:rsidR="00C356AC">
        <w:rPr>
          <w:rFonts w:ascii="Times New Roman" w:hAnsi="Times New Roman" w:cs="Times New Roman"/>
          <w:bCs/>
          <w:lang w:val="it-IT"/>
        </w:rPr>
        <w:t>più</w:t>
      </w:r>
      <w:r w:rsidR="00C356AC" w:rsidRPr="00EB063F">
        <w:rPr>
          <w:rFonts w:ascii="Times New Roman" w:hAnsi="Times New Roman" w:cs="Times New Roman"/>
          <w:bCs/>
          <w:lang w:val="it-IT"/>
        </w:rPr>
        <w:t xml:space="preserve"> </w:t>
      </w:r>
      <w:proofErr w:type="spellStart"/>
      <w:r w:rsidR="00D13470" w:rsidRPr="00EB063F">
        <w:rPr>
          <w:rFonts w:ascii="Times New Roman" w:hAnsi="Times New Roman" w:cs="Times New Roman"/>
          <w:bCs/>
          <w:lang w:val="it-IT"/>
        </w:rPr>
        <w:t>ipilimumab</w:t>
      </w:r>
      <w:proofErr w:type="spellEnd"/>
      <w:r w:rsidR="00D13470" w:rsidRPr="00EB063F">
        <w:rPr>
          <w:rFonts w:ascii="Times New Roman" w:hAnsi="Times New Roman" w:cs="Times New Roman"/>
          <w:bCs/>
          <w:lang w:val="it-IT"/>
        </w:rPr>
        <w:t xml:space="preserve"> hanno continuato a mostrare una sopravvivenza a lungo termine superiore e risposte durature rispetto a </w:t>
      </w:r>
      <w:r w:rsidR="002F6CDE" w:rsidRPr="00EB063F">
        <w:rPr>
          <w:rFonts w:ascii="Times New Roman" w:hAnsi="Times New Roman" w:cs="Times New Roman"/>
          <w:bCs/>
          <w:lang w:val="it-IT"/>
        </w:rPr>
        <w:t xml:space="preserve">sunitinib. </w:t>
      </w:r>
      <w:r w:rsidR="00D13470" w:rsidRPr="00EB063F">
        <w:rPr>
          <w:rFonts w:ascii="Times New Roman" w:hAnsi="Times New Roman" w:cs="Times New Roman"/>
          <w:bCs/>
          <w:lang w:val="it-IT"/>
        </w:rPr>
        <w:t>Questi benefici prolungati sono stati osservati sia nella popolazione di pazienti primar</w:t>
      </w:r>
      <w:r w:rsidR="008C548F" w:rsidRPr="00EB063F">
        <w:rPr>
          <w:rFonts w:ascii="Times New Roman" w:hAnsi="Times New Roman" w:cs="Times New Roman"/>
          <w:bCs/>
          <w:lang w:val="it-IT"/>
        </w:rPr>
        <w:t>i</w:t>
      </w:r>
      <w:r w:rsidR="00D13470" w:rsidRPr="00EB063F">
        <w:rPr>
          <w:rFonts w:ascii="Times New Roman" w:hAnsi="Times New Roman" w:cs="Times New Roman"/>
          <w:bCs/>
          <w:iCs/>
          <w:lang w:val="it-IT"/>
        </w:rPr>
        <w:t>,</w:t>
      </w:r>
      <w:r w:rsidR="009C2AE1" w:rsidRPr="00EB063F">
        <w:rPr>
          <w:rFonts w:ascii="Times New Roman" w:hAnsi="Times New Roman" w:cs="Times New Roman"/>
          <w:bCs/>
          <w:iCs/>
          <w:lang w:val="it-IT"/>
        </w:rPr>
        <w:t xml:space="preserve"> </w:t>
      </w:r>
      <w:r w:rsidR="00D13470" w:rsidRPr="00EB063F">
        <w:rPr>
          <w:rFonts w:ascii="Times New Roman" w:hAnsi="Times New Roman" w:cs="Times New Roman"/>
          <w:bCs/>
          <w:iCs/>
          <w:lang w:val="it-IT"/>
        </w:rPr>
        <w:t xml:space="preserve">con fattore di rischio prognostico intermedio e </w:t>
      </w:r>
      <w:r w:rsidR="00D94E01" w:rsidRPr="00EB063F">
        <w:rPr>
          <w:rFonts w:ascii="Times New Roman" w:hAnsi="Times New Roman" w:cs="Times New Roman"/>
          <w:bCs/>
          <w:iCs/>
          <w:lang w:val="it-IT"/>
        </w:rPr>
        <w:t>basso</w:t>
      </w:r>
      <w:r w:rsidR="009C2AE1" w:rsidRPr="00EB063F">
        <w:rPr>
          <w:rFonts w:ascii="Times New Roman" w:hAnsi="Times New Roman" w:cs="Times New Roman"/>
          <w:bCs/>
          <w:iCs/>
          <w:lang w:val="it-IT"/>
        </w:rPr>
        <w:t xml:space="preserve">, </w:t>
      </w:r>
      <w:r w:rsidR="008C548F" w:rsidRPr="00EB063F">
        <w:rPr>
          <w:rFonts w:ascii="Times New Roman" w:hAnsi="Times New Roman" w:cs="Times New Roman"/>
          <w:bCs/>
          <w:iCs/>
          <w:lang w:val="it-IT"/>
        </w:rPr>
        <w:t xml:space="preserve">che </w:t>
      </w:r>
      <w:r w:rsidR="00C356AC">
        <w:rPr>
          <w:rFonts w:ascii="Times New Roman" w:hAnsi="Times New Roman" w:cs="Times New Roman"/>
          <w:bCs/>
          <w:iCs/>
          <w:lang w:val="it-IT"/>
        </w:rPr>
        <w:t>nella popolazione</w:t>
      </w:r>
      <w:r w:rsidR="008C548F" w:rsidRPr="00EB063F">
        <w:rPr>
          <w:rFonts w:ascii="Times New Roman" w:hAnsi="Times New Roman" w:cs="Times New Roman"/>
          <w:bCs/>
          <w:iCs/>
          <w:lang w:val="it-IT"/>
        </w:rPr>
        <w:t xml:space="preserve"> </w:t>
      </w:r>
      <w:proofErr w:type="spellStart"/>
      <w:r w:rsidR="00AB608E" w:rsidRPr="00EB063F">
        <w:rPr>
          <w:rFonts w:ascii="Times New Roman" w:hAnsi="Times New Roman" w:cs="Times New Roman"/>
          <w:bCs/>
          <w:iCs/>
          <w:lang w:val="it-IT"/>
        </w:rPr>
        <w:t>intention</w:t>
      </w:r>
      <w:proofErr w:type="spellEnd"/>
      <w:r w:rsidR="00AB608E" w:rsidRPr="00EB063F">
        <w:rPr>
          <w:rFonts w:ascii="Times New Roman" w:hAnsi="Times New Roman" w:cs="Times New Roman"/>
          <w:bCs/>
          <w:iCs/>
          <w:lang w:val="it-IT"/>
        </w:rPr>
        <w:t>-to-</w:t>
      </w:r>
      <w:proofErr w:type="spellStart"/>
      <w:r w:rsidR="00AB608E" w:rsidRPr="00EB063F">
        <w:rPr>
          <w:rFonts w:ascii="Times New Roman" w:hAnsi="Times New Roman" w:cs="Times New Roman"/>
          <w:bCs/>
          <w:iCs/>
          <w:lang w:val="it-IT"/>
        </w:rPr>
        <w:t>treat</w:t>
      </w:r>
      <w:proofErr w:type="spellEnd"/>
      <w:r w:rsidR="00AB608E" w:rsidRPr="00EB063F">
        <w:rPr>
          <w:rFonts w:ascii="Times New Roman" w:hAnsi="Times New Roman" w:cs="Times New Roman"/>
          <w:bCs/>
          <w:iCs/>
          <w:lang w:val="it-IT"/>
        </w:rPr>
        <w:t xml:space="preserve"> (ITT</w:t>
      </w:r>
      <w:r w:rsidR="003A03F5" w:rsidRPr="00EB063F">
        <w:rPr>
          <w:rFonts w:ascii="Times New Roman" w:hAnsi="Times New Roman" w:cs="Times New Roman"/>
          <w:bCs/>
          <w:iCs/>
          <w:lang w:val="it-IT"/>
        </w:rPr>
        <w:t xml:space="preserve">, </w:t>
      </w:r>
      <w:r w:rsidR="008C548F" w:rsidRPr="00EB063F">
        <w:rPr>
          <w:rFonts w:ascii="Times New Roman" w:hAnsi="Times New Roman" w:cs="Times New Roman"/>
          <w:bCs/>
          <w:iCs/>
          <w:lang w:val="it-IT"/>
        </w:rPr>
        <w:t>cioè tutti randomizzati</w:t>
      </w:r>
      <w:r w:rsidR="00AB608E" w:rsidRPr="00EB063F">
        <w:rPr>
          <w:rFonts w:ascii="Times New Roman" w:hAnsi="Times New Roman" w:cs="Times New Roman"/>
          <w:bCs/>
          <w:iCs/>
          <w:lang w:val="it-IT"/>
        </w:rPr>
        <w:t>)</w:t>
      </w:r>
      <w:r w:rsidR="00CA077F" w:rsidRPr="00EB063F">
        <w:rPr>
          <w:rFonts w:ascii="Times New Roman" w:hAnsi="Times New Roman" w:cs="Times New Roman"/>
          <w:bCs/>
          <w:iCs/>
          <w:lang w:val="it-IT"/>
        </w:rPr>
        <w:t>.</w:t>
      </w:r>
      <w:r w:rsidR="00C409E9" w:rsidRPr="00EB063F">
        <w:rPr>
          <w:rFonts w:ascii="Times New Roman" w:hAnsi="Times New Roman" w:cs="Times New Roman"/>
          <w:bCs/>
          <w:iCs/>
          <w:lang w:val="it-IT"/>
        </w:rPr>
        <w:t xml:space="preserve"> </w:t>
      </w:r>
    </w:p>
    <w:p w14:paraId="7DFA802E" w14:textId="557E7CF7" w:rsidR="00D16267" w:rsidRPr="00EB063F" w:rsidRDefault="008C548F" w:rsidP="00B3416D">
      <w:pPr>
        <w:spacing w:line="360" w:lineRule="auto"/>
        <w:ind w:firstLine="720"/>
        <w:jc w:val="both"/>
        <w:rPr>
          <w:rFonts w:ascii="Times New Roman" w:hAnsi="Times New Roman" w:cs="Times New Roman"/>
          <w:lang w:val="it-IT"/>
        </w:rPr>
      </w:pPr>
      <w:r w:rsidRPr="00EB063F">
        <w:rPr>
          <w:rFonts w:ascii="Times New Roman" w:hAnsi="Times New Roman" w:cs="Times New Roman"/>
          <w:lang w:val="it-IT"/>
        </w:rPr>
        <w:t xml:space="preserve">Nei pazienti a rischio intermedio </w:t>
      </w:r>
      <w:r w:rsidR="00AD4229">
        <w:rPr>
          <w:rFonts w:ascii="Times New Roman" w:hAnsi="Times New Roman" w:cs="Times New Roman"/>
          <w:lang w:val="it-IT"/>
        </w:rPr>
        <w:t>e</w:t>
      </w:r>
      <w:r w:rsidR="00AD4229" w:rsidRPr="00EB063F">
        <w:rPr>
          <w:rFonts w:ascii="Times New Roman" w:hAnsi="Times New Roman" w:cs="Times New Roman"/>
          <w:lang w:val="it-IT"/>
        </w:rPr>
        <w:t xml:space="preserve"> </w:t>
      </w:r>
      <w:r w:rsidR="00D94E01" w:rsidRPr="00EB063F">
        <w:rPr>
          <w:rFonts w:ascii="Times New Roman" w:hAnsi="Times New Roman" w:cs="Times New Roman"/>
          <w:lang w:val="it-IT"/>
        </w:rPr>
        <w:t>basso</w:t>
      </w:r>
      <w:r w:rsidRPr="00EB063F">
        <w:rPr>
          <w:rFonts w:ascii="Times New Roman" w:hAnsi="Times New Roman" w:cs="Times New Roman"/>
          <w:lang w:val="it-IT"/>
        </w:rPr>
        <w:t xml:space="preserve"> </w:t>
      </w:r>
      <w:r w:rsidR="00424393" w:rsidRPr="00EB063F">
        <w:rPr>
          <w:rFonts w:ascii="Times New Roman" w:hAnsi="Times New Roman" w:cs="Times New Roman"/>
          <w:lang w:val="it-IT"/>
        </w:rPr>
        <w:t>(n=847),</w:t>
      </w:r>
      <w:r w:rsidR="00D16267" w:rsidRPr="00EB063F">
        <w:rPr>
          <w:rFonts w:ascii="Times New Roman" w:hAnsi="Times New Roman" w:cs="Times New Roman"/>
          <w:lang w:val="it-IT"/>
        </w:rPr>
        <w:t xml:space="preserve"> </w:t>
      </w:r>
      <w:proofErr w:type="spellStart"/>
      <w:r w:rsidRPr="00EB063F">
        <w:rPr>
          <w:rFonts w:ascii="Times New Roman" w:hAnsi="Times New Roman" w:cs="Times New Roman"/>
          <w:lang w:val="it-IT"/>
        </w:rPr>
        <w:t>nivolumab</w:t>
      </w:r>
      <w:proofErr w:type="spellEnd"/>
      <w:r w:rsidRPr="00EB063F">
        <w:rPr>
          <w:rFonts w:ascii="Times New Roman" w:hAnsi="Times New Roman" w:cs="Times New Roman"/>
          <w:lang w:val="it-IT"/>
        </w:rPr>
        <w:t xml:space="preserve"> </w:t>
      </w:r>
      <w:r w:rsidR="000A75C5">
        <w:rPr>
          <w:rFonts w:ascii="Times New Roman" w:hAnsi="Times New Roman" w:cs="Times New Roman"/>
          <w:lang w:val="it-IT"/>
        </w:rPr>
        <w:t>più</w:t>
      </w:r>
      <w:r w:rsidR="000A75C5" w:rsidRPr="00EB063F">
        <w:rPr>
          <w:rFonts w:ascii="Times New Roman" w:hAnsi="Times New Roman" w:cs="Times New Roman"/>
          <w:lang w:val="it-IT"/>
        </w:rPr>
        <w:t xml:space="preserve"> </w:t>
      </w:r>
      <w:proofErr w:type="spellStart"/>
      <w:r w:rsidRPr="00EB063F">
        <w:rPr>
          <w:rFonts w:ascii="Times New Roman" w:hAnsi="Times New Roman" w:cs="Times New Roman"/>
          <w:lang w:val="it-IT"/>
        </w:rPr>
        <w:t>ipilimumab</w:t>
      </w:r>
      <w:proofErr w:type="spellEnd"/>
      <w:r w:rsidRPr="00EB063F">
        <w:rPr>
          <w:rFonts w:ascii="Times New Roman" w:hAnsi="Times New Roman" w:cs="Times New Roman"/>
          <w:i/>
          <w:iCs/>
          <w:lang w:val="it-IT"/>
        </w:rPr>
        <w:t xml:space="preserve"> </w:t>
      </w:r>
      <w:r w:rsidRPr="00EB063F">
        <w:rPr>
          <w:rFonts w:ascii="Times New Roman" w:hAnsi="Times New Roman" w:cs="Times New Roman"/>
          <w:lang w:val="it-IT"/>
        </w:rPr>
        <w:t>hanno mantenuto i miglioramenti</w:t>
      </w:r>
      <w:r w:rsidRPr="00EB063F">
        <w:rPr>
          <w:rFonts w:ascii="Times New Roman" w:hAnsi="Times New Roman" w:cs="Times New Roman"/>
          <w:i/>
          <w:iCs/>
          <w:lang w:val="it-IT"/>
        </w:rPr>
        <w:t xml:space="preserve"> </w:t>
      </w:r>
      <w:r w:rsidRPr="00EB063F">
        <w:rPr>
          <w:rFonts w:ascii="Times New Roman" w:hAnsi="Times New Roman" w:cs="Times New Roman"/>
          <w:lang w:val="it-IT"/>
        </w:rPr>
        <w:t xml:space="preserve">nella sopravvivenza globale (OS) e nel tasso di risposta globale </w:t>
      </w:r>
      <w:r w:rsidR="006F4B5D" w:rsidRPr="00EB063F">
        <w:rPr>
          <w:rFonts w:ascii="Times New Roman" w:hAnsi="Times New Roman" w:cs="Times New Roman"/>
          <w:lang w:val="it-IT"/>
        </w:rPr>
        <w:t xml:space="preserve">(ORR), </w:t>
      </w:r>
      <w:r w:rsidRPr="00EB063F">
        <w:rPr>
          <w:rFonts w:ascii="Times New Roman" w:hAnsi="Times New Roman" w:cs="Times New Roman"/>
          <w:lang w:val="it-IT"/>
        </w:rPr>
        <w:t>due degli endpoint co-primari dello studio</w:t>
      </w:r>
      <w:r w:rsidR="006F4B5D" w:rsidRPr="00EB063F">
        <w:rPr>
          <w:rFonts w:ascii="Times New Roman" w:hAnsi="Times New Roman" w:cs="Times New Roman"/>
          <w:lang w:val="it-IT"/>
        </w:rPr>
        <w:t xml:space="preserve">, </w:t>
      </w:r>
      <w:r w:rsidRPr="00EB063F">
        <w:rPr>
          <w:rFonts w:ascii="Times New Roman" w:hAnsi="Times New Roman" w:cs="Times New Roman"/>
          <w:lang w:val="it-IT"/>
        </w:rPr>
        <w:t>così come negli endpoint esplorativi</w:t>
      </w:r>
      <w:r w:rsidR="00F30669" w:rsidRPr="00EB063F">
        <w:rPr>
          <w:rFonts w:ascii="Times New Roman" w:hAnsi="Times New Roman" w:cs="Times New Roman"/>
          <w:lang w:val="it-IT"/>
        </w:rPr>
        <w:t>,</w:t>
      </w:r>
      <w:r w:rsidRPr="00EB063F">
        <w:rPr>
          <w:rFonts w:ascii="Times New Roman" w:hAnsi="Times New Roman" w:cs="Times New Roman"/>
          <w:lang w:val="it-IT"/>
        </w:rPr>
        <w:t xml:space="preserve"> come la risposta completa </w:t>
      </w:r>
      <w:r w:rsidR="00B52D36" w:rsidRPr="00EB063F">
        <w:rPr>
          <w:rFonts w:ascii="Times New Roman" w:hAnsi="Times New Roman" w:cs="Times New Roman"/>
          <w:lang w:val="it-IT"/>
        </w:rPr>
        <w:t>(</w:t>
      </w:r>
      <w:r w:rsidR="006F4B5D" w:rsidRPr="00EB063F">
        <w:rPr>
          <w:rFonts w:ascii="Times New Roman" w:hAnsi="Times New Roman" w:cs="Times New Roman"/>
          <w:lang w:val="it-IT"/>
        </w:rPr>
        <w:t xml:space="preserve">CR) </w:t>
      </w:r>
      <w:r w:rsidRPr="00EB063F">
        <w:rPr>
          <w:rFonts w:ascii="Times New Roman" w:hAnsi="Times New Roman" w:cs="Times New Roman"/>
          <w:lang w:val="it-IT"/>
        </w:rPr>
        <w:t>e la durata mediana della risposta</w:t>
      </w:r>
      <w:r w:rsidR="006F4B5D" w:rsidRPr="00EB063F">
        <w:rPr>
          <w:rFonts w:ascii="Times New Roman" w:hAnsi="Times New Roman" w:cs="Times New Roman"/>
          <w:lang w:val="it-IT"/>
        </w:rPr>
        <w:t xml:space="preserve"> (mDOR)</w:t>
      </w:r>
      <w:r w:rsidR="008E0476" w:rsidRPr="00EB063F">
        <w:rPr>
          <w:rFonts w:ascii="Times New Roman" w:hAnsi="Times New Roman" w:cs="Times New Roman"/>
          <w:lang w:val="it-IT"/>
        </w:rPr>
        <w:t>:</w:t>
      </w:r>
    </w:p>
    <w:p w14:paraId="171614BF" w14:textId="0823D6F8" w:rsidR="00424393" w:rsidRPr="00EB063F" w:rsidRDefault="00424393" w:rsidP="00B3416D">
      <w:pPr>
        <w:pStyle w:val="Paragrafoelenco"/>
        <w:numPr>
          <w:ilvl w:val="0"/>
          <w:numId w:val="3"/>
        </w:numPr>
        <w:spacing w:line="360" w:lineRule="auto"/>
        <w:ind w:right="115"/>
        <w:jc w:val="both"/>
        <w:rPr>
          <w:rFonts w:ascii="Times New Roman" w:hAnsi="Times New Roman" w:cs="Times New Roman"/>
          <w:lang w:val="it-IT"/>
        </w:rPr>
      </w:pPr>
      <w:r w:rsidRPr="00EB063F">
        <w:rPr>
          <w:rFonts w:ascii="Times New Roman" w:hAnsi="Times New Roman" w:cs="Times New Roman"/>
          <w:lang w:val="it-IT"/>
        </w:rPr>
        <w:t>OS:</w:t>
      </w:r>
      <w:r w:rsidR="005E3767" w:rsidRPr="00EB063F">
        <w:rPr>
          <w:rFonts w:ascii="Times New Roman" w:hAnsi="Times New Roman" w:cs="Times New Roman"/>
          <w:lang w:val="it-IT"/>
        </w:rPr>
        <w:t xml:space="preserve"> </w:t>
      </w:r>
      <w:r w:rsidR="008C548F" w:rsidRPr="00EB063F">
        <w:rPr>
          <w:rFonts w:ascii="Times New Roman" w:hAnsi="Times New Roman" w:cs="Times New Roman"/>
          <w:lang w:val="it-IT"/>
        </w:rPr>
        <w:t>la</w:t>
      </w:r>
      <w:r w:rsidR="00430A7B">
        <w:rPr>
          <w:rFonts w:ascii="Times New Roman" w:hAnsi="Times New Roman" w:cs="Times New Roman"/>
          <w:lang w:val="it-IT"/>
        </w:rPr>
        <w:t xml:space="preserve"> </w:t>
      </w:r>
      <w:r w:rsidR="008C548F" w:rsidRPr="00EB063F">
        <w:rPr>
          <w:rFonts w:ascii="Times New Roman" w:hAnsi="Times New Roman" w:cs="Times New Roman"/>
          <w:lang w:val="it-IT"/>
        </w:rPr>
        <w:t>mediana</w:t>
      </w:r>
      <w:r w:rsidR="00430A7B">
        <w:rPr>
          <w:rFonts w:ascii="Times New Roman" w:hAnsi="Times New Roman" w:cs="Times New Roman"/>
          <w:lang w:val="it-IT"/>
        </w:rPr>
        <w:t xml:space="preserve"> di OS</w:t>
      </w:r>
      <w:r w:rsidR="008C548F" w:rsidRPr="00EB063F">
        <w:rPr>
          <w:rFonts w:ascii="Times New Roman" w:hAnsi="Times New Roman" w:cs="Times New Roman"/>
          <w:lang w:val="it-IT"/>
        </w:rPr>
        <w:t xml:space="preserve"> era</w:t>
      </w:r>
      <w:r w:rsidR="007403F6" w:rsidRPr="00EB063F">
        <w:rPr>
          <w:rFonts w:ascii="Times New Roman" w:hAnsi="Times New Roman" w:cs="Times New Roman"/>
          <w:lang w:val="it-IT"/>
        </w:rPr>
        <w:t xml:space="preserve"> pari a</w:t>
      </w:r>
      <w:r w:rsidR="005E3767" w:rsidRPr="00EB063F">
        <w:rPr>
          <w:rFonts w:ascii="Times New Roman" w:hAnsi="Times New Roman" w:cs="Times New Roman"/>
          <w:lang w:val="it-IT"/>
        </w:rPr>
        <w:t xml:space="preserve"> 48</w:t>
      </w:r>
      <w:r w:rsidR="00B52D36" w:rsidRPr="00EB063F">
        <w:rPr>
          <w:rFonts w:ascii="Times New Roman" w:hAnsi="Times New Roman" w:cs="Times New Roman"/>
          <w:lang w:val="it-IT"/>
        </w:rPr>
        <w:t>,</w:t>
      </w:r>
      <w:r w:rsidR="005E3767" w:rsidRPr="00EB063F">
        <w:rPr>
          <w:rFonts w:ascii="Times New Roman" w:hAnsi="Times New Roman" w:cs="Times New Roman"/>
          <w:lang w:val="it-IT"/>
        </w:rPr>
        <w:t xml:space="preserve">1 </w:t>
      </w:r>
      <w:r w:rsidR="008C548F" w:rsidRPr="00EB063F">
        <w:rPr>
          <w:rFonts w:ascii="Times New Roman" w:hAnsi="Times New Roman" w:cs="Times New Roman"/>
          <w:lang w:val="it-IT"/>
        </w:rPr>
        <w:t xml:space="preserve">mesi per </w:t>
      </w:r>
      <w:r w:rsidR="00D94E01" w:rsidRPr="00EB063F">
        <w:rPr>
          <w:rFonts w:ascii="Times New Roman" w:hAnsi="Times New Roman" w:cs="Times New Roman"/>
          <w:lang w:val="it-IT"/>
        </w:rPr>
        <w:t>i</w:t>
      </w:r>
      <w:r w:rsidR="008C548F" w:rsidRPr="00EB063F">
        <w:rPr>
          <w:rFonts w:ascii="Times New Roman" w:hAnsi="Times New Roman" w:cs="Times New Roman"/>
          <w:lang w:val="it-IT"/>
        </w:rPr>
        <w:t xml:space="preserve"> pazienti </w:t>
      </w:r>
      <w:r w:rsidR="00D94E01" w:rsidRPr="00EB063F">
        <w:rPr>
          <w:rFonts w:ascii="Times New Roman" w:hAnsi="Times New Roman" w:cs="Times New Roman"/>
          <w:lang w:val="it-IT"/>
        </w:rPr>
        <w:t xml:space="preserve">a rischio intermedio e basso trattati con </w:t>
      </w:r>
      <w:proofErr w:type="spellStart"/>
      <w:r w:rsidR="00D94E01" w:rsidRPr="00EB063F">
        <w:rPr>
          <w:rFonts w:ascii="Times New Roman" w:hAnsi="Times New Roman" w:cs="Times New Roman"/>
          <w:lang w:val="it-IT"/>
        </w:rPr>
        <w:t>nivolumab</w:t>
      </w:r>
      <w:proofErr w:type="spellEnd"/>
      <w:r w:rsidR="00D94E01" w:rsidRPr="00EB063F">
        <w:rPr>
          <w:rFonts w:ascii="Times New Roman" w:hAnsi="Times New Roman" w:cs="Times New Roman"/>
          <w:lang w:val="it-IT"/>
        </w:rPr>
        <w:t xml:space="preserve"> </w:t>
      </w:r>
      <w:r w:rsidR="000A75C5">
        <w:rPr>
          <w:rFonts w:ascii="Times New Roman" w:hAnsi="Times New Roman" w:cs="Times New Roman"/>
          <w:lang w:val="it-IT"/>
        </w:rPr>
        <w:t>più</w:t>
      </w:r>
      <w:r w:rsidR="000A75C5" w:rsidRPr="00EB063F">
        <w:rPr>
          <w:rFonts w:ascii="Times New Roman" w:hAnsi="Times New Roman" w:cs="Times New Roman"/>
          <w:lang w:val="it-IT"/>
        </w:rPr>
        <w:t xml:space="preserve"> </w:t>
      </w:r>
      <w:proofErr w:type="spellStart"/>
      <w:r w:rsidR="00D94E01" w:rsidRPr="00EB063F">
        <w:rPr>
          <w:rFonts w:ascii="Times New Roman" w:hAnsi="Times New Roman" w:cs="Times New Roman"/>
          <w:lang w:val="it-IT"/>
        </w:rPr>
        <w:t>ipilimumab</w:t>
      </w:r>
      <w:proofErr w:type="spellEnd"/>
      <w:r w:rsidR="00D94E01" w:rsidRPr="00EB063F">
        <w:rPr>
          <w:rFonts w:ascii="Times New Roman" w:hAnsi="Times New Roman" w:cs="Times New Roman"/>
          <w:lang w:val="it-IT"/>
        </w:rPr>
        <w:t xml:space="preserve"> </w:t>
      </w:r>
      <w:r w:rsidR="003C1920" w:rsidRPr="00EB063F">
        <w:rPr>
          <w:rFonts w:ascii="Times New Roman" w:hAnsi="Times New Roman" w:cs="Times New Roman"/>
          <w:lang w:val="it-IT"/>
        </w:rPr>
        <w:t>rispetto a</w:t>
      </w:r>
      <w:r w:rsidR="005E3767" w:rsidRPr="00EB063F">
        <w:rPr>
          <w:rFonts w:ascii="Times New Roman" w:hAnsi="Times New Roman" w:cs="Times New Roman"/>
          <w:lang w:val="it-IT"/>
        </w:rPr>
        <w:t xml:space="preserve"> 26</w:t>
      </w:r>
      <w:r w:rsidR="00B52D36" w:rsidRPr="00EB063F">
        <w:rPr>
          <w:rFonts w:ascii="Times New Roman" w:hAnsi="Times New Roman" w:cs="Times New Roman"/>
          <w:lang w:val="it-IT"/>
        </w:rPr>
        <w:t>,</w:t>
      </w:r>
      <w:r w:rsidR="005E3767" w:rsidRPr="00EB063F">
        <w:rPr>
          <w:rFonts w:ascii="Times New Roman" w:hAnsi="Times New Roman" w:cs="Times New Roman"/>
          <w:lang w:val="it-IT"/>
        </w:rPr>
        <w:t xml:space="preserve">6 </w:t>
      </w:r>
      <w:r w:rsidR="00D94E01" w:rsidRPr="00EB063F">
        <w:rPr>
          <w:rFonts w:ascii="Times New Roman" w:hAnsi="Times New Roman" w:cs="Times New Roman"/>
          <w:lang w:val="it-IT"/>
        </w:rPr>
        <w:t>mesi per</w:t>
      </w:r>
      <w:r w:rsidR="005E3767" w:rsidRPr="00EB063F">
        <w:rPr>
          <w:rFonts w:ascii="Times New Roman" w:hAnsi="Times New Roman" w:cs="Times New Roman"/>
          <w:lang w:val="it-IT"/>
        </w:rPr>
        <w:t xml:space="preserve"> sunitinib</w:t>
      </w:r>
      <w:r w:rsidR="0050622E" w:rsidRPr="00EB063F">
        <w:rPr>
          <w:rFonts w:ascii="Times New Roman" w:hAnsi="Times New Roman" w:cs="Times New Roman"/>
          <w:lang w:val="it-IT"/>
        </w:rPr>
        <w:t xml:space="preserve"> </w:t>
      </w:r>
      <w:r w:rsidR="00CE2CE1" w:rsidRPr="00EB063F">
        <w:rPr>
          <w:rFonts w:ascii="Times New Roman" w:hAnsi="Times New Roman" w:cs="Times New Roman"/>
          <w:lang w:val="it-IT"/>
        </w:rPr>
        <w:t>(</w:t>
      </w:r>
      <w:r w:rsidR="0050622E" w:rsidRPr="00EB063F">
        <w:rPr>
          <w:rFonts w:ascii="Times New Roman" w:hAnsi="Times New Roman" w:cs="Times New Roman"/>
          <w:lang w:val="it-IT"/>
        </w:rPr>
        <w:t xml:space="preserve">Hazard Ratio </w:t>
      </w:r>
      <w:r w:rsidR="00CE2CE1" w:rsidRPr="00EB063F">
        <w:rPr>
          <w:rFonts w:ascii="Times New Roman" w:hAnsi="Times New Roman" w:cs="Times New Roman"/>
          <w:lang w:val="it-IT"/>
        </w:rPr>
        <w:t>[</w:t>
      </w:r>
      <w:r w:rsidR="0050622E" w:rsidRPr="00EB063F">
        <w:rPr>
          <w:rFonts w:ascii="Times New Roman" w:hAnsi="Times New Roman" w:cs="Times New Roman"/>
          <w:lang w:val="it-IT"/>
        </w:rPr>
        <w:t>HR</w:t>
      </w:r>
      <w:r w:rsidR="0029452E" w:rsidRPr="00EB063F">
        <w:rPr>
          <w:rFonts w:ascii="Times New Roman" w:hAnsi="Times New Roman" w:cs="Times New Roman"/>
          <w:lang w:val="it-IT"/>
        </w:rPr>
        <w:t>]</w:t>
      </w:r>
      <w:r w:rsidR="0050622E" w:rsidRPr="00EB063F">
        <w:rPr>
          <w:rFonts w:ascii="Times New Roman" w:hAnsi="Times New Roman" w:cs="Times New Roman"/>
          <w:lang w:val="it-IT"/>
        </w:rPr>
        <w:t xml:space="preserve"> 0</w:t>
      </w:r>
      <w:r w:rsidR="00B52D36" w:rsidRPr="00EB063F">
        <w:rPr>
          <w:rFonts w:ascii="Times New Roman" w:hAnsi="Times New Roman" w:cs="Times New Roman"/>
          <w:lang w:val="it-IT"/>
        </w:rPr>
        <w:t>,</w:t>
      </w:r>
      <w:r w:rsidR="0050622E" w:rsidRPr="00EB063F">
        <w:rPr>
          <w:rFonts w:ascii="Times New Roman" w:hAnsi="Times New Roman" w:cs="Times New Roman"/>
          <w:lang w:val="it-IT"/>
        </w:rPr>
        <w:t>65</w:t>
      </w:r>
      <w:r w:rsidR="00123792" w:rsidRPr="00EB063F">
        <w:rPr>
          <w:rFonts w:ascii="Times New Roman" w:hAnsi="Times New Roman" w:cs="Times New Roman"/>
          <w:lang w:val="it-IT"/>
        </w:rPr>
        <w:t>;</w:t>
      </w:r>
      <w:r w:rsidR="0050622E" w:rsidRPr="00EB063F">
        <w:rPr>
          <w:rFonts w:ascii="Times New Roman" w:hAnsi="Times New Roman" w:cs="Times New Roman"/>
          <w:lang w:val="it-IT"/>
        </w:rPr>
        <w:t xml:space="preserve"> 95% Confidence </w:t>
      </w:r>
      <w:r w:rsidR="008E45F3" w:rsidRPr="00EB063F">
        <w:rPr>
          <w:rFonts w:ascii="Times New Roman" w:hAnsi="Times New Roman" w:cs="Times New Roman"/>
          <w:lang w:val="it-IT"/>
        </w:rPr>
        <w:t>I</w:t>
      </w:r>
      <w:r w:rsidR="0050622E" w:rsidRPr="00EB063F">
        <w:rPr>
          <w:rFonts w:ascii="Times New Roman" w:hAnsi="Times New Roman" w:cs="Times New Roman"/>
          <w:lang w:val="it-IT"/>
        </w:rPr>
        <w:t>nterval [CI]: 0</w:t>
      </w:r>
      <w:r w:rsidR="00B52D36" w:rsidRPr="00EB063F">
        <w:rPr>
          <w:rFonts w:ascii="Times New Roman" w:hAnsi="Times New Roman" w:cs="Times New Roman"/>
          <w:lang w:val="it-IT"/>
        </w:rPr>
        <w:t>,</w:t>
      </w:r>
      <w:r w:rsidR="0050622E" w:rsidRPr="00EB063F">
        <w:rPr>
          <w:rFonts w:ascii="Times New Roman" w:hAnsi="Times New Roman" w:cs="Times New Roman"/>
          <w:lang w:val="it-IT"/>
        </w:rPr>
        <w:t>54</w:t>
      </w:r>
      <w:r w:rsidR="008E45F3" w:rsidRPr="00EB063F">
        <w:rPr>
          <w:rFonts w:ascii="Times New Roman" w:hAnsi="Times New Roman" w:cs="Times New Roman"/>
          <w:lang w:val="it-IT"/>
        </w:rPr>
        <w:t xml:space="preserve"> </w:t>
      </w:r>
      <w:r w:rsidR="00B52D36" w:rsidRPr="00EB063F">
        <w:rPr>
          <w:rFonts w:ascii="Times New Roman" w:hAnsi="Times New Roman" w:cs="Times New Roman"/>
          <w:lang w:val="it-IT"/>
        </w:rPr>
        <w:t>-</w:t>
      </w:r>
      <w:r w:rsidR="008E45F3" w:rsidRPr="00EB063F">
        <w:rPr>
          <w:rFonts w:ascii="Times New Roman" w:hAnsi="Times New Roman" w:cs="Times New Roman"/>
          <w:lang w:val="it-IT"/>
        </w:rPr>
        <w:t xml:space="preserve"> </w:t>
      </w:r>
      <w:r w:rsidR="0050622E" w:rsidRPr="00EB063F">
        <w:rPr>
          <w:rFonts w:ascii="Times New Roman" w:hAnsi="Times New Roman" w:cs="Times New Roman"/>
          <w:lang w:val="it-IT"/>
        </w:rPr>
        <w:t>0</w:t>
      </w:r>
      <w:r w:rsidR="00B52D36" w:rsidRPr="00EB063F">
        <w:rPr>
          <w:rFonts w:ascii="Times New Roman" w:hAnsi="Times New Roman" w:cs="Times New Roman"/>
          <w:lang w:val="it-IT"/>
        </w:rPr>
        <w:t>,</w:t>
      </w:r>
      <w:r w:rsidR="0050622E" w:rsidRPr="00EB063F">
        <w:rPr>
          <w:rFonts w:ascii="Times New Roman" w:hAnsi="Times New Roman" w:cs="Times New Roman"/>
          <w:lang w:val="it-IT"/>
        </w:rPr>
        <w:t>78)</w:t>
      </w:r>
      <w:r w:rsidR="00BE5981" w:rsidRPr="00EB063F">
        <w:rPr>
          <w:rFonts w:ascii="Times New Roman" w:hAnsi="Times New Roman" w:cs="Times New Roman"/>
          <w:lang w:val="it-IT"/>
        </w:rPr>
        <w:t xml:space="preserve">. </w:t>
      </w:r>
      <w:r w:rsidR="00D94E01" w:rsidRPr="00EB063F">
        <w:rPr>
          <w:rFonts w:ascii="Times New Roman" w:hAnsi="Times New Roman" w:cs="Times New Roman"/>
          <w:lang w:val="it-IT"/>
        </w:rPr>
        <w:t>La combinazione dell</w:t>
      </w:r>
      <w:r w:rsidR="00F30669" w:rsidRPr="00EB063F">
        <w:rPr>
          <w:rFonts w:ascii="Times New Roman" w:hAnsi="Times New Roman" w:cs="Times New Roman"/>
          <w:lang w:val="it-IT"/>
        </w:rPr>
        <w:t>a</w:t>
      </w:r>
      <w:r w:rsidR="00D94E01" w:rsidRPr="00EB063F">
        <w:rPr>
          <w:rFonts w:ascii="Times New Roman" w:hAnsi="Times New Roman" w:cs="Times New Roman"/>
          <w:lang w:val="it-IT"/>
        </w:rPr>
        <w:t xml:space="preserve"> </w:t>
      </w:r>
      <w:r w:rsidR="000A75C5">
        <w:rPr>
          <w:rFonts w:ascii="Times New Roman" w:hAnsi="Times New Roman" w:cs="Times New Roman"/>
          <w:lang w:val="it-IT"/>
        </w:rPr>
        <w:t>duplice</w:t>
      </w:r>
      <w:r w:rsidR="000A75C5" w:rsidRPr="00EB063F">
        <w:rPr>
          <w:rFonts w:ascii="Times New Roman" w:hAnsi="Times New Roman" w:cs="Times New Roman"/>
          <w:lang w:val="it-IT"/>
        </w:rPr>
        <w:t xml:space="preserve"> </w:t>
      </w:r>
      <w:r w:rsidR="00D94E01" w:rsidRPr="00EB063F">
        <w:rPr>
          <w:rFonts w:ascii="Times New Roman" w:hAnsi="Times New Roman" w:cs="Times New Roman"/>
          <w:lang w:val="it-IT"/>
        </w:rPr>
        <w:t>immunoterapia ha mostrato un tasso di OS a quattro anni del</w:t>
      </w:r>
      <w:r w:rsidR="005E3767" w:rsidRPr="00EB063F">
        <w:rPr>
          <w:rFonts w:ascii="Times New Roman" w:hAnsi="Times New Roman" w:cs="Times New Roman"/>
          <w:lang w:val="it-IT"/>
        </w:rPr>
        <w:t xml:space="preserve"> 50</w:t>
      </w:r>
      <w:r w:rsidR="00B52D36" w:rsidRPr="00EB063F">
        <w:rPr>
          <w:rFonts w:ascii="Times New Roman" w:hAnsi="Times New Roman" w:cs="Times New Roman"/>
          <w:lang w:val="it-IT"/>
        </w:rPr>
        <w:t>,</w:t>
      </w:r>
      <w:r w:rsidR="005E3767" w:rsidRPr="00EB063F">
        <w:rPr>
          <w:rFonts w:ascii="Times New Roman" w:hAnsi="Times New Roman" w:cs="Times New Roman"/>
          <w:lang w:val="it-IT"/>
        </w:rPr>
        <w:t>0%</w:t>
      </w:r>
      <w:r w:rsidR="00BE5981" w:rsidRPr="00EB063F">
        <w:rPr>
          <w:rFonts w:ascii="Times New Roman" w:hAnsi="Times New Roman" w:cs="Times New Roman"/>
          <w:lang w:val="it-IT"/>
        </w:rPr>
        <w:t xml:space="preserve">, </w:t>
      </w:r>
      <w:r w:rsidR="00430A7B">
        <w:rPr>
          <w:rFonts w:ascii="Times New Roman" w:hAnsi="Times New Roman" w:cs="Times New Roman"/>
          <w:lang w:val="it-IT"/>
        </w:rPr>
        <w:t>rispetto</w:t>
      </w:r>
      <w:r w:rsidR="00A15796" w:rsidRPr="00EB063F">
        <w:rPr>
          <w:rFonts w:ascii="Times New Roman" w:hAnsi="Times New Roman" w:cs="Times New Roman"/>
          <w:lang w:val="it-IT"/>
        </w:rPr>
        <w:t xml:space="preserve"> al </w:t>
      </w:r>
      <w:r w:rsidR="005E3767" w:rsidRPr="00EB063F">
        <w:rPr>
          <w:rFonts w:ascii="Times New Roman" w:hAnsi="Times New Roman" w:cs="Times New Roman"/>
          <w:lang w:val="it-IT"/>
        </w:rPr>
        <w:t>35</w:t>
      </w:r>
      <w:r w:rsidR="00B52D36" w:rsidRPr="00EB063F">
        <w:rPr>
          <w:rFonts w:ascii="Times New Roman" w:hAnsi="Times New Roman" w:cs="Times New Roman"/>
          <w:lang w:val="it-IT"/>
        </w:rPr>
        <w:t>,</w:t>
      </w:r>
      <w:r w:rsidR="005E3767" w:rsidRPr="00EB063F">
        <w:rPr>
          <w:rFonts w:ascii="Times New Roman" w:hAnsi="Times New Roman" w:cs="Times New Roman"/>
          <w:lang w:val="it-IT"/>
        </w:rPr>
        <w:t>8%</w:t>
      </w:r>
      <w:r w:rsidR="00EC5791" w:rsidRPr="00EB063F">
        <w:rPr>
          <w:rFonts w:ascii="Times New Roman" w:hAnsi="Times New Roman" w:cs="Times New Roman"/>
          <w:lang w:val="it-IT"/>
        </w:rPr>
        <w:t xml:space="preserve"> </w:t>
      </w:r>
      <w:r w:rsidR="00A15796" w:rsidRPr="00EB063F">
        <w:rPr>
          <w:rFonts w:ascii="Times New Roman" w:hAnsi="Times New Roman" w:cs="Times New Roman"/>
          <w:lang w:val="it-IT"/>
        </w:rPr>
        <w:t xml:space="preserve">con </w:t>
      </w:r>
      <w:r w:rsidR="0050622E" w:rsidRPr="00EB063F">
        <w:rPr>
          <w:rFonts w:ascii="Times New Roman" w:hAnsi="Times New Roman" w:cs="Times New Roman"/>
          <w:lang w:val="it-IT"/>
        </w:rPr>
        <w:t>sunitinib</w:t>
      </w:r>
      <w:r w:rsidR="00EC5791" w:rsidRPr="00EB063F">
        <w:rPr>
          <w:rFonts w:ascii="Times New Roman" w:hAnsi="Times New Roman" w:cs="Times New Roman"/>
          <w:lang w:val="it-IT"/>
        </w:rPr>
        <w:t>.</w:t>
      </w:r>
    </w:p>
    <w:p w14:paraId="4526AB9E" w14:textId="7DE1D2EF" w:rsidR="00424393" w:rsidRPr="00EB063F" w:rsidRDefault="00424393" w:rsidP="00B3416D">
      <w:pPr>
        <w:pStyle w:val="Paragrafoelenco"/>
        <w:numPr>
          <w:ilvl w:val="0"/>
          <w:numId w:val="3"/>
        </w:numPr>
        <w:spacing w:line="360" w:lineRule="auto"/>
        <w:ind w:right="115"/>
        <w:jc w:val="both"/>
        <w:rPr>
          <w:rFonts w:ascii="Times New Roman" w:hAnsi="Times New Roman" w:cs="Times New Roman"/>
          <w:lang w:val="it-IT"/>
        </w:rPr>
      </w:pPr>
      <w:r w:rsidRPr="00EB063F">
        <w:rPr>
          <w:rFonts w:ascii="Times New Roman" w:hAnsi="Times New Roman" w:cs="Times New Roman"/>
          <w:lang w:val="it-IT"/>
        </w:rPr>
        <w:t xml:space="preserve">ORR: </w:t>
      </w:r>
      <w:proofErr w:type="spellStart"/>
      <w:r w:rsidR="00A15796" w:rsidRPr="00EB063F">
        <w:rPr>
          <w:rFonts w:ascii="Times New Roman" w:hAnsi="Times New Roman" w:cs="Times New Roman"/>
          <w:lang w:val="it-IT"/>
        </w:rPr>
        <w:t>nivolumab</w:t>
      </w:r>
      <w:proofErr w:type="spellEnd"/>
      <w:r w:rsidR="00A15796" w:rsidRPr="00EB063F">
        <w:rPr>
          <w:rFonts w:ascii="Times New Roman" w:hAnsi="Times New Roman" w:cs="Times New Roman"/>
          <w:lang w:val="it-IT"/>
        </w:rPr>
        <w:t xml:space="preserve"> </w:t>
      </w:r>
      <w:r w:rsidR="000A75C5">
        <w:rPr>
          <w:rFonts w:ascii="Times New Roman" w:hAnsi="Times New Roman" w:cs="Times New Roman"/>
          <w:lang w:val="it-IT"/>
        </w:rPr>
        <w:t>più</w:t>
      </w:r>
      <w:r w:rsidR="00A15796" w:rsidRPr="00EB063F">
        <w:rPr>
          <w:rFonts w:ascii="Times New Roman" w:hAnsi="Times New Roman" w:cs="Times New Roman"/>
          <w:lang w:val="it-IT"/>
        </w:rPr>
        <w:t xml:space="preserve"> </w:t>
      </w:r>
      <w:proofErr w:type="spellStart"/>
      <w:r w:rsidR="00A15796" w:rsidRPr="00EB063F">
        <w:rPr>
          <w:rFonts w:ascii="Times New Roman" w:hAnsi="Times New Roman" w:cs="Times New Roman"/>
          <w:lang w:val="it-IT"/>
        </w:rPr>
        <w:t>ipilimumab</w:t>
      </w:r>
      <w:proofErr w:type="spellEnd"/>
      <w:r w:rsidR="00A15796" w:rsidRPr="00EB063F">
        <w:rPr>
          <w:rFonts w:ascii="Times New Roman" w:hAnsi="Times New Roman" w:cs="Times New Roman"/>
          <w:lang w:val="it-IT"/>
        </w:rPr>
        <w:t xml:space="preserve"> hanno continuato a mostrare un </w:t>
      </w:r>
      <w:r w:rsidR="00F30669" w:rsidRPr="00EB063F">
        <w:rPr>
          <w:rFonts w:ascii="Times New Roman" w:hAnsi="Times New Roman" w:cs="Times New Roman"/>
          <w:lang w:val="it-IT"/>
        </w:rPr>
        <w:t>tasso di risposta globale</w:t>
      </w:r>
      <w:r w:rsidR="00A15796" w:rsidRPr="00EB063F">
        <w:rPr>
          <w:rFonts w:ascii="Times New Roman" w:hAnsi="Times New Roman" w:cs="Times New Roman"/>
          <w:lang w:val="it-IT"/>
        </w:rPr>
        <w:t xml:space="preserve"> numericamente maggiore</w:t>
      </w:r>
      <w:r w:rsidRPr="00EB063F">
        <w:rPr>
          <w:rFonts w:ascii="Times New Roman" w:hAnsi="Times New Roman" w:cs="Times New Roman"/>
          <w:lang w:val="it-IT"/>
        </w:rPr>
        <w:t>,</w:t>
      </w:r>
      <w:r w:rsidR="00B33BD6" w:rsidRPr="00EB063F">
        <w:rPr>
          <w:rFonts w:ascii="Times New Roman" w:hAnsi="Times New Roman" w:cs="Times New Roman"/>
          <w:lang w:val="it-IT"/>
        </w:rPr>
        <w:t xml:space="preserve"> </w:t>
      </w:r>
      <w:r w:rsidR="00A15796" w:rsidRPr="00EB063F">
        <w:rPr>
          <w:rFonts w:ascii="Times New Roman" w:hAnsi="Times New Roman" w:cs="Times New Roman"/>
          <w:lang w:val="it-IT"/>
        </w:rPr>
        <w:t xml:space="preserve">con maggiori risposte in corso rispetto a </w:t>
      </w:r>
      <w:r w:rsidR="00B33BD6" w:rsidRPr="00EB063F">
        <w:rPr>
          <w:rFonts w:ascii="Times New Roman" w:hAnsi="Times New Roman" w:cs="Times New Roman"/>
          <w:lang w:val="it-IT"/>
        </w:rPr>
        <w:t>sunitinib (65% vs. 50%).</w:t>
      </w:r>
    </w:p>
    <w:p w14:paraId="7792AA21" w14:textId="5B66139B" w:rsidR="00424393" w:rsidRPr="00EB063F" w:rsidRDefault="00424393" w:rsidP="00B3416D">
      <w:pPr>
        <w:pStyle w:val="Paragrafoelenco"/>
        <w:numPr>
          <w:ilvl w:val="0"/>
          <w:numId w:val="3"/>
        </w:numPr>
        <w:spacing w:line="360" w:lineRule="auto"/>
        <w:ind w:right="115"/>
        <w:jc w:val="both"/>
        <w:rPr>
          <w:rFonts w:ascii="Times New Roman" w:hAnsi="Times New Roman" w:cs="Times New Roman"/>
          <w:lang w:val="it-IT"/>
        </w:rPr>
      </w:pPr>
      <w:r w:rsidRPr="00EB063F">
        <w:rPr>
          <w:rFonts w:ascii="Times New Roman" w:hAnsi="Times New Roman" w:cs="Times New Roman"/>
          <w:lang w:val="it-IT"/>
        </w:rPr>
        <w:lastRenderedPageBreak/>
        <w:t xml:space="preserve">CR: </w:t>
      </w:r>
      <w:r w:rsidR="00A15796" w:rsidRPr="00EB063F">
        <w:rPr>
          <w:rFonts w:ascii="Times New Roman" w:hAnsi="Times New Roman" w:cs="Times New Roman"/>
          <w:lang w:val="it-IT"/>
        </w:rPr>
        <w:t xml:space="preserve">coerentemente con l’analisi a </w:t>
      </w:r>
      <w:r w:rsidR="006F4B5D" w:rsidRPr="00EB063F">
        <w:rPr>
          <w:rFonts w:ascii="Times New Roman" w:hAnsi="Times New Roman" w:cs="Times New Roman"/>
          <w:lang w:val="it-IT"/>
        </w:rPr>
        <w:t>42</w:t>
      </w:r>
      <w:r w:rsidR="00A15796" w:rsidRPr="00EB063F">
        <w:rPr>
          <w:rFonts w:ascii="Times New Roman" w:hAnsi="Times New Roman" w:cs="Times New Roman"/>
          <w:lang w:val="it-IT"/>
        </w:rPr>
        <w:t xml:space="preserve"> mesi</w:t>
      </w:r>
      <w:r w:rsidR="006F4B5D" w:rsidRPr="00EB063F">
        <w:rPr>
          <w:rFonts w:ascii="Times New Roman" w:hAnsi="Times New Roman" w:cs="Times New Roman"/>
          <w:lang w:val="it-IT"/>
        </w:rPr>
        <w:t xml:space="preserve">, </w:t>
      </w:r>
      <w:r w:rsidR="00A15796" w:rsidRPr="00EB063F">
        <w:rPr>
          <w:rFonts w:ascii="Times New Roman" w:hAnsi="Times New Roman" w:cs="Times New Roman"/>
          <w:lang w:val="it-IT"/>
        </w:rPr>
        <w:t xml:space="preserve">il </w:t>
      </w:r>
      <w:r w:rsidRPr="00EB063F">
        <w:rPr>
          <w:rFonts w:ascii="Times New Roman" w:hAnsi="Times New Roman" w:cs="Times New Roman"/>
          <w:lang w:val="it-IT"/>
        </w:rPr>
        <w:t xml:space="preserve">10% </w:t>
      </w:r>
      <w:r w:rsidR="00A15796" w:rsidRPr="00EB063F">
        <w:rPr>
          <w:rFonts w:ascii="Times New Roman" w:hAnsi="Times New Roman" w:cs="Times New Roman"/>
          <w:lang w:val="it-IT"/>
        </w:rPr>
        <w:t xml:space="preserve">dei pazienti trattati con </w:t>
      </w:r>
      <w:proofErr w:type="spellStart"/>
      <w:r w:rsidR="00A15796" w:rsidRPr="00EB063F">
        <w:rPr>
          <w:rFonts w:ascii="Times New Roman" w:hAnsi="Times New Roman" w:cs="Times New Roman"/>
          <w:lang w:val="it-IT"/>
        </w:rPr>
        <w:t>nivolumab</w:t>
      </w:r>
      <w:proofErr w:type="spellEnd"/>
      <w:r w:rsidR="00A15796" w:rsidRPr="00EB063F">
        <w:rPr>
          <w:rFonts w:ascii="Times New Roman" w:hAnsi="Times New Roman" w:cs="Times New Roman"/>
          <w:lang w:val="it-IT"/>
        </w:rPr>
        <w:t xml:space="preserve"> </w:t>
      </w:r>
      <w:r w:rsidR="000A75C5">
        <w:rPr>
          <w:rFonts w:ascii="Times New Roman" w:hAnsi="Times New Roman" w:cs="Times New Roman"/>
          <w:lang w:val="it-IT"/>
        </w:rPr>
        <w:t>più</w:t>
      </w:r>
      <w:r w:rsidR="00A15796" w:rsidRPr="00EB063F">
        <w:rPr>
          <w:rFonts w:ascii="Times New Roman" w:hAnsi="Times New Roman" w:cs="Times New Roman"/>
          <w:lang w:val="it-IT"/>
        </w:rPr>
        <w:t xml:space="preserve"> </w:t>
      </w:r>
      <w:proofErr w:type="spellStart"/>
      <w:r w:rsidR="00A15796" w:rsidRPr="00EB063F">
        <w:rPr>
          <w:rFonts w:ascii="Times New Roman" w:hAnsi="Times New Roman" w:cs="Times New Roman"/>
          <w:lang w:val="it-IT"/>
        </w:rPr>
        <w:t>ipilimumab</w:t>
      </w:r>
      <w:proofErr w:type="spellEnd"/>
      <w:r w:rsidR="00A15796" w:rsidRPr="00EB063F">
        <w:rPr>
          <w:rFonts w:ascii="Times New Roman" w:hAnsi="Times New Roman" w:cs="Times New Roman"/>
          <w:lang w:val="it-IT"/>
        </w:rPr>
        <w:t xml:space="preserve"> ha raggiunto una risposta completa</w:t>
      </w:r>
      <w:r w:rsidRPr="00EB063F">
        <w:rPr>
          <w:rFonts w:ascii="Times New Roman" w:hAnsi="Times New Roman" w:cs="Times New Roman"/>
          <w:lang w:val="it-IT"/>
        </w:rPr>
        <w:t>,</w:t>
      </w:r>
      <w:r w:rsidR="00A15796" w:rsidRPr="00EB063F">
        <w:rPr>
          <w:rFonts w:ascii="Times New Roman" w:hAnsi="Times New Roman" w:cs="Times New Roman"/>
          <w:lang w:val="it-IT"/>
        </w:rPr>
        <w:t xml:space="preserve"> rispetto all’</w:t>
      </w:r>
      <w:r w:rsidRPr="00EB063F">
        <w:rPr>
          <w:rFonts w:ascii="Times New Roman" w:hAnsi="Times New Roman" w:cs="Times New Roman"/>
          <w:lang w:val="it-IT"/>
        </w:rPr>
        <w:t xml:space="preserve">1% </w:t>
      </w:r>
      <w:r w:rsidR="00A15796" w:rsidRPr="00EB063F">
        <w:rPr>
          <w:rFonts w:ascii="Times New Roman" w:hAnsi="Times New Roman" w:cs="Times New Roman"/>
          <w:lang w:val="it-IT"/>
        </w:rPr>
        <w:t xml:space="preserve">di quelli trattati con </w:t>
      </w:r>
      <w:r w:rsidRPr="00EB063F">
        <w:rPr>
          <w:rFonts w:ascii="Times New Roman" w:hAnsi="Times New Roman" w:cs="Times New Roman"/>
          <w:lang w:val="it-IT"/>
        </w:rPr>
        <w:t>sunitinib.</w:t>
      </w:r>
    </w:p>
    <w:p w14:paraId="52BB46F3" w14:textId="760B1A04" w:rsidR="006F4B5D" w:rsidRPr="00EB063F" w:rsidRDefault="006F4B5D" w:rsidP="00B3416D">
      <w:pPr>
        <w:pStyle w:val="Paragrafoelenco"/>
        <w:numPr>
          <w:ilvl w:val="0"/>
          <w:numId w:val="3"/>
        </w:numPr>
        <w:spacing w:line="360" w:lineRule="auto"/>
        <w:ind w:right="115"/>
        <w:jc w:val="both"/>
        <w:rPr>
          <w:rFonts w:ascii="Times New Roman" w:hAnsi="Times New Roman" w:cs="Times New Roman"/>
          <w:lang w:val="it-IT"/>
        </w:rPr>
      </w:pPr>
      <w:proofErr w:type="spellStart"/>
      <w:r w:rsidRPr="00EB063F">
        <w:rPr>
          <w:rFonts w:ascii="Times New Roman" w:hAnsi="Times New Roman" w:cs="Times New Roman"/>
          <w:lang w:val="it-IT"/>
        </w:rPr>
        <w:t>mDOR</w:t>
      </w:r>
      <w:proofErr w:type="spellEnd"/>
      <w:r w:rsidRPr="00EB063F">
        <w:rPr>
          <w:rFonts w:ascii="Times New Roman" w:hAnsi="Times New Roman" w:cs="Times New Roman"/>
          <w:lang w:val="it-IT"/>
        </w:rPr>
        <w:t xml:space="preserve">: </w:t>
      </w:r>
      <w:r w:rsidR="00A15796" w:rsidRPr="00EB063F">
        <w:rPr>
          <w:rFonts w:ascii="Times New Roman" w:hAnsi="Times New Roman" w:cs="Times New Roman"/>
          <w:lang w:val="it-IT"/>
        </w:rPr>
        <w:t xml:space="preserve">con </w:t>
      </w:r>
      <w:proofErr w:type="spellStart"/>
      <w:r w:rsidR="00A15796" w:rsidRPr="00EB063F">
        <w:rPr>
          <w:rFonts w:ascii="Times New Roman" w:hAnsi="Times New Roman" w:cs="Times New Roman"/>
          <w:lang w:val="it-IT"/>
        </w:rPr>
        <w:t>nivolumab</w:t>
      </w:r>
      <w:proofErr w:type="spellEnd"/>
      <w:r w:rsidR="00A15796" w:rsidRPr="00EB063F">
        <w:rPr>
          <w:rFonts w:ascii="Times New Roman" w:hAnsi="Times New Roman" w:cs="Times New Roman"/>
          <w:lang w:val="it-IT"/>
        </w:rPr>
        <w:t xml:space="preserve"> </w:t>
      </w:r>
      <w:r w:rsidR="000A75C5">
        <w:rPr>
          <w:rFonts w:ascii="Times New Roman" w:hAnsi="Times New Roman" w:cs="Times New Roman"/>
          <w:lang w:val="it-IT"/>
        </w:rPr>
        <w:t>più</w:t>
      </w:r>
      <w:r w:rsidR="00A15796" w:rsidRPr="00EB063F">
        <w:rPr>
          <w:rFonts w:ascii="Times New Roman" w:hAnsi="Times New Roman" w:cs="Times New Roman"/>
          <w:lang w:val="it-IT"/>
        </w:rPr>
        <w:t xml:space="preserve"> </w:t>
      </w:r>
      <w:proofErr w:type="spellStart"/>
      <w:r w:rsidR="00A15796" w:rsidRPr="00EB063F">
        <w:rPr>
          <w:rFonts w:ascii="Times New Roman" w:hAnsi="Times New Roman" w:cs="Times New Roman"/>
          <w:lang w:val="it-IT"/>
        </w:rPr>
        <w:t>ipilimumab</w:t>
      </w:r>
      <w:proofErr w:type="spellEnd"/>
      <w:r w:rsidR="009705BF" w:rsidRPr="00EB063F">
        <w:rPr>
          <w:rFonts w:ascii="Times New Roman" w:hAnsi="Times New Roman" w:cs="Times New Roman"/>
          <w:lang w:val="it-IT"/>
        </w:rPr>
        <w:t xml:space="preserve">, </w:t>
      </w:r>
      <w:r w:rsidR="00F57737" w:rsidRPr="00EB063F">
        <w:rPr>
          <w:rFonts w:ascii="Times New Roman" w:hAnsi="Times New Roman" w:cs="Times New Roman"/>
          <w:lang w:val="it-IT"/>
        </w:rPr>
        <w:t xml:space="preserve">la </w:t>
      </w:r>
      <w:r w:rsidR="00A96972" w:rsidRPr="00EB063F">
        <w:rPr>
          <w:rFonts w:ascii="Times New Roman" w:hAnsi="Times New Roman" w:cs="Times New Roman"/>
          <w:lang w:val="it-IT"/>
        </w:rPr>
        <w:t xml:space="preserve">durata mediana della </w:t>
      </w:r>
      <w:r w:rsidR="00F57737" w:rsidRPr="00EB063F">
        <w:rPr>
          <w:rFonts w:ascii="Times New Roman" w:hAnsi="Times New Roman" w:cs="Times New Roman"/>
          <w:lang w:val="it-IT"/>
        </w:rPr>
        <w:t>risposta non è stata raggiunta mentre con sunitinib è</w:t>
      </w:r>
      <w:r w:rsidR="00B52D36" w:rsidRPr="00EB063F">
        <w:rPr>
          <w:rFonts w:ascii="Times New Roman" w:hAnsi="Times New Roman" w:cs="Times New Roman"/>
          <w:lang w:val="it-IT"/>
        </w:rPr>
        <w:t xml:space="preserve"> di</w:t>
      </w:r>
      <w:r w:rsidR="00F57737" w:rsidRPr="00EB063F">
        <w:rPr>
          <w:rFonts w:ascii="Times New Roman" w:hAnsi="Times New Roman" w:cs="Times New Roman"/>
          <w:lang w:val="it-IT"/>
        </w:rPr>
        <w:t xml:space="preserve"> </w:t>
      </w:r>
      <w:r w:rsidR="00691B78" w:rsidRPr="00EB063F">
        <w:rPr>
          <w:rFonts w:ascii="Times New Roman" w:hAnsi="Times New Roman" w:cs="Times New Roman"/>
          <w:lang w:val="it-IT"/>
        </w:rPr>
        <w:t>19</w:t>
      </w:r>
      <w:r w:rsidR="00B52D36" w:rsidRPr="00EB063F">
        <w:rPr>
          <w:rFonts w:ascii="Times New Roman" w:hAnsi="Times New Roman" w:cs="Times New Roman"/>
          <w:lang w:val="it-IT"/>
        </w:rPr>
        <w:t>,</w:t>
      </w:r>
      <w:r w:rsidR="00691B78" w:rsidRPr="00EB063F">
        <w:rPr>
          <w:rFonts w:ascii="Times New Roman" w:hAnsi="Times New Roman" w:cs="Times New Roman"/>
          <w:lang w:val="it-IT"/>
        </w:rPr>
        <w:t>7</w:t>
      </w:r>
      <w:r w:rsidR="009705BF" w:rsidRPr="00EB063F">
        <w:rPr>
          <w:rFonts w:ascii="Times New Roman" w:hAnsi="Times New Roman" w:cs="Times New Roman"/>
          <w:lang w:val="it-IT"/>
        </w:rPr>
        <w:t xml:space="preserve"> </w:t>
      </w:r>
      <w:r w:rsidR="00F57737" w:rsidRPr="00EB063F">
        <w:rPr>
          <w:rFonts w:ascii="Times New Roman" w:hAnsi="Times New Roman" w:cs="Times New Roman"/>
          <w:lang w:val="it-IT"/>
        </w:rPr>
        <w:t>mesi</w:t>
      </w:r>
      <w:r w:rsidR="009705BF" w:rsidRPr="00EB063F">
        <w:rPr>
          <w:rFonts w:ascii="Times New Roman" w:hAnsi="Times New Roman" w:cs="Times New Roman"/>
          <w:lang w:val="it-IT"/>
        </w:rPr>
        <w:t xml:space="preserve">. </w:t>
      </w:r>
    </w:p>
    <w:p w14:paraId="19F46322" w14:textId="24D38162" w:rsidR="00EC5791" w:rsidRPr="00EB063F" w:rsidRDefault="00EC5791" w:rsidP="00B3416D">
      <w:pPr>
        <w:spacing w:line="360" w:lineRule="auto"/>
        <w:ind w:firstLine="720"/>
        <w:jc w:val="both"/>
        <w:rPr>
          <w:rFonts w:ascii="Times New Roman" w:hAnsi="Times New Roman" w:cs="Times New Roman"/>
          <w:lang w:val="it-IT"/>
        </w:rPr>
      </w:pPr>
      <w:r w:rsidRPr="00EB063F">
        <w:rPr>
          <w:rFonts w:ascii="Times New Roman" w:hAnsi="Times New Roman" w:cs="Times New Roman"/>
          <w:lang w:val="it-IT"/>
        </w:rPr>
        <w:t>“</w:t>
      </w:r>
      <w:proofErr w:type="spellStart"/>
      <w:r w:rsidR="00D84D5C" w:rsidRPr="00EB063F">
        <w:rPr>
          <w:rFonts w:ascii="Times New Roman" w:hAnsi="Times New Roman" w:cs="Times New Roman"/>
          <w:lang w:val="it-IT"/>
        </w:rPr>
        <w:t>Nivolumab</w:t>
      </w:r>
      <w:proofErr w:type="spellEnd"/>
      <w:r w:rsidR="00D84D5C" w:rsidRPr="00EB063F">
        <w:rPr>
          <w:rFonts w:ascii="Times New Roman" w:hAnsi="Times New Roman" w:cs="Times New Roman"/>
          <w:lang w:val="it-IT"/>
        </w:rPr>
        <w:t xml:space="preserve"> </w:t>
      </w:r>
      <w:r w:rsidR="00B25B02">
        <w:rPr>
          <w:rFonts w:ascii="Times New Roman" w:hAnsi="Times New Roman" w:cs="Times New Roman"/>
          <w:lang w:val="it-IT"/>
        </w:rPr>
        <w:t>più</w:t>
      </w:r>
      <w:r w:rsidR="00D84D5C" w:rsidRPr="00EB063F">
        <w:rPr>
          <w:rFonts w:ascii="Times New Roman" w:hAnsi="Times New Roman" w:cs="Times New Roman"/>
          <w:lang w:val="it-IT"/>
        </w:rPr>
        <w:t xml:space="preserve"> </w:t>
      </w:r>
      <w:proofErr w:type="spellStart"/>
      <w:r w:rsidR="00D84D5C" w:rsidRPr="00EB063F">
        <w:rPr>
          <w:rFonts w:ascii="Times New Roman" w:hAnsi="Times New Roman" w:cs="Times New Roman"/>
          <w:lang w:val="it-IT"/>
        </w:rPr>
        <w:t>ipilimumab</w:t>
      </w:r>
      <w:proofErr w:type="spellEnd"/>
      <w:r w:rsidR="00D84D5C" w:rsidRPr="00EB063F">
        <w:rPr>
          <w:rFonts w:ascii="Times New Roman" w:hAnsi="Times New Roman" w:cs="Times New Roman"/>
          <w:lang w:val="it-IT"/>
        </w:rPr>
        <w:t xml:space="preserve"> </w:t>
      </w:r>
      <w:r w:rsidR="00F57737" w:rsidRPr="00EB063F">
        <w:rPr>
          <w:rFonts w:ascii="Times New Roman" w:hAnsi="Times New Roman" w:cs="Times New Roman"/>
          <w:lang w:val="it-IT"/>
        </w:rPr>
        <w:t xml:space="preserve">è la </w:t>
      </w:r>
      <w:r w:rsidR="00F30669" w:rsidRPr="00EB063F">
        <w:rPr>
          <w:rFonts w:ascii="Times New Roman" w:hAnsi="Times New Roman" w:cs="Times New Roman"/>
          <w:lang w:val="it-IT"/>
        </w:rPr>
        <w:t>p</w:t>
      </w:r>
      <w:r w:rsidR="00F57737" w:rsidRPr="00EB063F">
        <w:rPr>
          <w:rFonts w:ascii="Times New Roman" w:hAnsi="Times New Roman" w:cs="Times New Roman"/>
          <w:lang w:val="it-IT"/>
        </w:rPr>
        <w:t>rima combinazione immunoterapica a dimostrare un vantaggio nell</w:t>
      </w:r>
      <w:r w:rsidR="00F30669" w:rsidRPr="00EB063F">
        <w:rPr>
          <w:rFonts w:ascii="Times New Roman" w:hAnsi="Times New Roman" w:cs="Times New Roman"/>
          <w:lang w:val="it-IT"/>
        </w:rPr>
        <w:t>a</w:t>
      </w:r>
      <w:r w:rsidR="00F57737" w:rsidRPr="00EB063F">
        <w:rPr>
          <w:rFonts w:ascii="Times New Roman" w:hAnsi="Times New Roman" w:cs="Times New Roman"/>
          <w:lang w:val="it-IT"/>
        </w:rPr>
        <w:t xml:space="preserve"> sopravvivenza globale rispetto a </w:t>
      </w:r>
      <w:r w:rsidR="00D84D5C" w:rsidRPr="00EB063F">
        <w:rPr>
          <w:rFonts w:ascii="Times New Roman" w:hAnsi="Times New Roman" w:cs="Times New Roman"/>
          <w:lang w:val="it-IT"/>
        </w:rPr>
        <w:t xml:space="preserve">sunitinib </w:t>
      </w:r>
      <w:r w:rsidR="00F57737" w:rsidRPr="00EB063F">
        <w:rPr>
          <w:rFonts w:ascii="Times New Roman" w:hAnsi="Times New Roman" w:cs="Times New Roman"/>
          <w:lang w:val="it-IT"/>
        </w:rPr>
        <w:t>nei pazienti a</w:t>
      </w:r>
      <w:r w:rsidR="00B52D36" w:rsidRPr="00EB063F">
        <w:rPr>
          <w:rFonts w:ascii="Times New Roman" w:hAnsi="Times New Roman" w:cs="Times New Roman"/>
          <w:lang w:val="it-IT"/>
        </w:rPr>
        <w:t xml:space="preserve"> rischio intermedio e basso</w:t>
      </w:r>
      <w:r w:rsidR="00F57737" w:rsidRPr="00EB063F">
        <w:rPr>
          <w:rFonts w:ascii="Times New Roman" w:hAnsi="Times New Roman" w:cs="Times New Roman"/>
          <w:lang w:val="it-IT"/>
        </w:rPr>
        <w:t xml:space="preserve"> con </w:t>
      </w:r>
      <w:r w:rsidR="00210C82" w:rsidRPr="00EB063F">
        <w:rPr>
          <w:rFonts w:ascii="Times New Roman" w:hAnsi="Times New Roman" w:cs="Times New Roman"/>
          <w:lang w:val="it-IT"/>
        </w:rPr>
        <w:t>carcinoma a cellule renali avanzato</w:t>
      </w:r>
      <w:r w:rsidR="00D84D5C" w:rsidRPr="00EB063F">
        <w:rPr>
          <w:rFonts w:ascii="Times New Roman" w:hAnsi="Times New Roman" w:cs="Times New Roman"/>
          <w:lang w:val="it-IT"/>
        </w:rPr>
        <w:t>,”</w:t>
      </w:r>
      <w:r w:rsidR="00B52D36" w:rsidRPr="00EB063F">
        <w:rPr>
          <w:rFonts w:ascii="Times New Roman" w:hAnsi="Times New Roman" w:cs="Times New Roman"/>
          <w:lang w:val="it-IT"/>
        </w:rPr>
        <w:t xml:space="preserve"> ha</w:t>
      </w:r>
      <w:r w:rsidR="00D84D5C" w:rsidRPr="00EB063F">
        <w:rPr>
          <w:rFonts w:ascii="Times New Roman" w:hAnsi="Times New Roman" w:cs="Times New Roman"/>
          <w:lang w:val="it-IT"/>
        </w:rPr>
        <w:t xml:space="preserve"> </w:t>
      </w:r>
      <w:r w:rsidR="00210C82" w:rsidRPr="00EB063F">
        <w:rPr>
          <w:rFonts w:ascii="Times New Roman" w:hAnsi="Times New Roman" w:cs="Times New Roman"/>
          <w:lang w:val="it-IT"/>
        </w:rPr>
        <w:t>afferma</w:t>
      </w:r>
      <w:r w:rsidR="00B52D36" w:rsidRPr="00EB063F">
        <w:rPr>
          <w:rFonts w:ascii="Times New Roman" w:hAnsi="Times New Roman" w:cs="Times New Roman"/>
          <w:lang w:val="it-IT"/>
        </w:rPr>
        <w:t>to</w:t>
      </w:r>
      <w:r w:rsidR="00210C82" w:rsidRPr="00EB063F">
        <w:rPr>
          <w:rFonts w:ascii="Times New Roman" w:hAnsi="Times New Roman" w:cs="Times New Roman"/>
          <w:lang w:val="it-IT"/>
        </w:rPr>
        <w:t xml:space="preserve"> l</w:t>
      </w:r>
      <w:r w:rsidR="00EA54BF">
        <w:rPr>
          <w:rFonts w:ascii="Times New Roman" w:hAnsi="Times New Roman" w:cs="Times New Roman"/>
          <w:lang w:val="it-IT"/>
        </w:rPr>
        <w:t>o sperimentatore</w:t>
      </w:r>
      <w:r w:rsidR="00210C82" w:rsidRPr="00EB063F">
        <w:rPr>
          <w:rFonts w:ascii="Times New Roman" w:hAnsi="Times New Roman" w:cs="Times New Roman"/>
          <w:lang w:val="it-IT"/>
        </w:rPr>
        <w:t xml:space="preserve"> dello studio </w:t>
      </w:r>
      <w:proofErr w:type="spellStart"/>
      <w:r w:rsidR="00D84D5C" w:rsidRPr="00EB063F">
        <w:rPr>
          <w:rFonts w:ascii="Times New Roman" w:hAnsi="Times New Roman" w:cs="Times New Roman"/>
          <w:lang w:val="it-IT"/>
        </w:rPr>
        <w:t>CheckMate</w:t>
      </w:r>
      <w:proofErr w:type="spellEnd"/>
      <w:r w:rsidR="00D84D5C" w:rsidRPr="00EB063F">
        <w:rPr>
          <w:rFonts w:ascii="Times New Roman" w:hAnsi="Times New Roman" w:cs="Times New Roman"/>
          <w:lang w:val="it-IT"/>
        </w:rPr>
        <w:t xml:space="preserve"> -214</w:t>
      </w:r>
      <w:r w:rsidR="007403F6" w:rsidRPr="00EB063F">
        <w:rPr>
          <w:rFonts w:ascii="Times New Roman" w:hAnsi="Times New Roman" w:cs="Times New Roman"/>
          <w:lang w:val="it-IT"/>
        </w:rPr>
        <w:t>,</w:t>
      </w:r>
      <w:r w:rsidR="00D84D5C" w:rsidRPr="00EB063F">
        <w:rPr>
          <w:rFonts w:ascii="Times New Roman" w:hAnsi="Times New Roman" w:cs="Times New Roman"/>
          <w:lang w:val="it-IT"/>
        </w:rPr>
        <w:t xml:space="preserve"> Laurence </w:t>
      </w:r>
      <w:proofErr w:type="spellStart"/>
      <w:r w:rsidR="00D84D5C" w:rsidRPr="00EB063F">
        <w:rPr>
          <w:rFonts w:ascii="Times New Roman" w:hAnsi="Times New Roman" w:cs="Times New Roman"/>
          <w:lang w:val="it-IT"/>
        </w:rPr>
        <w:t>Albiges</w:t>
      </w:r>
      <w:proofErr w:type="spellEnd"/>
      <w:r w:rsidR="00D84D5C" w:rsidRPr="00EB063F">
        <w:rPr>
          <w:rFonts w:ascii="Times New Roman" w:hAnsi="Times New Roman" w:cs="Times New Roman"/>
          <w:lang w:val="it-IT"/>
        </w:rPr>
        <w:t>, M.D., Ph.D., Head of Genitourinary Unit, Gustave Roussy Institute. “</w:t>
      </w:r>
      <w:r w:rsidR="00210C82" w:rsidRPr="00EB063F">
        <w:rPr>
          <w:rFonts w:ascii="Times New Roman" w:hAnsi="Times New Roman" w:cs="Times New Roman"/>
          <w:lang w:val="it-IT"/>
        </w:rPr>
        <w:t xml:space="preserve">Ora, dopo quattro anni, l’efficacia duratura osservata nello studio </w:t>
      </w:r>
      <w:r w:rsidR="00D84D5C" w:rsidRPr="00EB063F">
        <w:rPr>
          <w:rFonts w:ascii="Times New Roman" w:hAnsi="Times New Roman" w:cs="Times New Roman"/>
          <w:lang w:val="it-IT"/>
        </w:rPr>
        <w:t xml:space="preserve">CheckMate -214 </w:t>
      </w:r>
      <w:r w:rsidR="00210C82" w:rsidRPr="00EB063F">
        <w:rPr>
          <w:rFonts w:ascii="Times New Roman" w:hAnsi="Times New Roman" w:cs="Times New Roman"/>
          <w:lang w:val="it-IT"/>
        </w:rPr>
        <w:t xml:space="preserve">rappresenta un importante progresso nel </w:t>
      </w:r>
      <w:r w:rsidR="00F30669" w:rsidRPr="00EB063F">
        <w:rPr>
          <w:rFonts w:ascii="Times New Roman" w:hAnsi="Times New Roman" w:cs="Times New Roman"/>
          <w:lang w:val="it-IT"/>
        </w:rPr>
        <w:t>nostro</w:t>
      </w:r>
      <w:r w:rsidR="007403F6" w:rsidRPr="00EB063F">
        <w:rPr>
          <w:rFonts w:ascii="Times New Roman" w:hAnsi="Times New Roman" w:cs="Times New Roman"/>
          <w:lang w:val="it-IT"/>
        </w:rPr>
        <w:t xml:space="preserve"> obiettivo</w:t>
      </w:r>
      <w:r w:rsidR="00210C82" w:rsidRPr="00EB063F">
        <w:rPr>
          <w:rFonts w:ascii="Times New Roman" w:hAnsi="Times New Roman" w:cs="Times New Roman"/>
          <w:lang w:val="it-IT"/>
        </w:rPr>
        <w:t xml:space="preserve"> di cambiare le aspettative di sopravvivenza di questi pazienti</w:t>
      </w:r>
      <w:r w:rsidR="00D84D5C" w:rsidRPr="00EB063F">
        <w:rPr>
          <w:rFonts w:ascii="Times New Roman" w:hAnsi="Times New Roman" w:cs="Times New Roman"/>
          <w:lang w:val="it-IT"/>
        </w:rPr>
        <w:t>.”</w:t>
      </w:r>
    </w:p>
    <w:p w14:paraId="1B849E3C" w14:textId="3CB7A027" w:rsidR="00424393" w:rsidRPr="00EB063F" w:rsidRDefault="00210C82" w:rsidP="00B3416D">
      <w:pPr>
        <w:spacing w:line="360" w:lineRule="auto"/>
        <w:ind w:firstLine="720"/>
        <w:jc w:val="both"/>
        <w:rPr>
          <w:rFonts w:ascii="Times New Roman" w:hAnsi="Times New Roman" w:cs="Times New Roman"/>
          <w:lang w:val="it-IT"/>
        </w:rPr>
      </w:pPr>
      <w:r w:rsidRPr="00EB063F">
        <w:rPr>
          <w:rFonts w:ascii="Times New Roman" w:hAnsi="Times New Roman" w:cs="Times New Roman"/>
          <w:lang w:val="it-IT"/>
        </w:rPr>
        <w:t>Un’analisi della popolazione intention-to-treat (</w:t>
      </w:r>
      <w:r w:rsidR="00D16267" w:rsidRPr="00EB063F">
        <w:rPr>
          <w:rFonts w:ascii="Times New Roman" w:hAnsi="Times New Roman" w:cs="Times New Roman"/>
          <w:lang w:val="it-IT"/>
        </w:rPr>
        <w:t>ITT</w:t>
      </w:r>
      <w:r w:rsidRPr="00EB063F">
        <w:rPr>
          <w:rFonts w:ascii="Times New Roman" w:hAnsi="Times New Roman" w:cs="Times New Roman"/>
          <w:lang w:val="it-IT"/>
        </w:rPr>
        <w:t xml:space="preserve">) </w:t>
      </w:r>
      <w:r w:rsidR="00D16267" w:rsidRPr="00EB063F">
        <w:rPr>
          <w:rFonts w:ascii="Times New Roman" w:hAnsi="Times New Roman" w:cs="Times New Roman"/>
          <w:lang w:val="it-IT"/>
        </w:rPr>
        <w:t>(n=1</w:t>
      </w:r>
      <w:r w:rsidR="00B52D36" w:rsidRPr="00EB063F">
        <w:rPr>
          <w:rFonts w:ascii="Times New Roman" w:hAnsi="Times New Roman" w:cs="Times New Roman"/>
          <w:lang w:val="it-IT"/>
        </w:rPr>
        <w:t>.</w:t>
      </w:r>
      <w:r w:rsidR="00D16267" w:rsidRPr="00EB063F">
        <w:rPr>
          <w:rFonts w:ascii="Times New Roman" w:hAnsi="Times New Roman" w:cs="Times New Roman"/>
          <w:lang w:val="it-IT"/>
        </w:rPr>
        <w:t>096)</w:t>
      </w:r>
      <w:r w:rsidR="00424393" w:rsidRPr="00EB063F">
        <w:rPr>
          <w:rFonts w:ascii="Times New Roman" w:hAnsi="Times New Roman" w:cs="Times New Roman"/>
          <w:lang w:val="it-IT"/>
        </w:rPr>
        <w:t xml:space="preserve"> </w:t>
      </w:r>
      <w:r w:rsidRPr="00EB063F">
        <w:rPr>
          <w:rFonts w:ascii="Times New Roman" w:hAnsi="Times New Roman" w:cs="Times New Roman"/>
          <w:lang w:val="it-IT"/>
        </w:rPr>
        <w:t xml:space="preserve">con un follow-up a </w:t>
      </w:r>
      <w:r w:rsidR="009705BF" w:rsidRPr="00EB063F">
        <w:rPr>
          <w:rFonts w:ascii="Times New Roman" w:hAnsi="Times New Roman" w:cs="Times New Roman"/>
          <w:lang w:val="it-IT"/>
        </w:rPr>
        <w:t xml:space="preserve">48 </w:t>
      </w:r>
      <w:r w:rsidRPr="00EB063F">
        <w:rPr>
          <w:rFonts w:ascii="Times New Roman" w:hAnsi="Times New Roman" w:cs="Times New Roman"/>
          <w:lang w:val="it-IT"/>
        </w:rPr>
        <w:t>mesi ha mostrato</w:t>
      </w:r>
      <w:r w:rsidR="00EC5791" w:rsidRPr="00EB063F">
        <w:rPr>
          <w:rFonts w:ascii="Times New Roman" w:hAnsi="Times New Roman" w:cs="Times New Roman"/>
          <w:lang w:val="it-IT"/>
        </w:rPr>
        <w:t>:</w:t>
      </w:r>
    </w:p>
    <w:p w14:paraId="49B72D14" w14:textId="76A8F1CE" w:rsidR="00424393" w:rsidRPr="00EB063F" w:rsidRDefault="00424393" w:rsidP="00B3416D">
      <w:pPr>
        <w:pStyle w:val="Paragrafoelenco"/>
        <w:numPr>
          <w:ilvl w:val="0"/>
          <w:numId w:val="4"/>
        </w:numPr>
        <w:spacing w:line="360" w:lineRule="auto"/>
        <w:ind w:right="115"/>
        <w:jc w:val="both"/>
        <w:rPr>
          <w:rFonts w:ascii="Times New Roman" w:hAnsi="Times New Roman" w:cs="Times New Roman"/>
          <w:lang w:val="it-IT"/>
        </w:rPr>
      </w:pPr>
      <w:r w:rsidRPr="00EB063F">
        <w:rPr>
          <w:rFonts w:ascii="Times New Roman" w:hAnsi="Times New Roman" w:cs="Times New Roman"/>
          <w:lang w:val="it-IT"/>
        </w:rPr>
        <w:t>OS:</w:t>
      </w:r>
      <w:r w:rsidR="00EC5791" w:rsidRPr="00EB063F">
        <w:rPr>
          <w:rFonts w:ascii="Times New Roman" w:hAnsi="Times New Roman" w:cs="Times New Roman"/>
          <w:lang w:val="it-IT"/>
        </w:rPr>
        <w:t xml:space="preserve"> </w:t>
      </w:r>
      <w:r w:rsidR="00210C82" w:rsidRPr="00EB063F">
        <w:rPr>
          <w:rFonts w:ascii="Times New Roman" w:hAnsi="Times New Roman" w:cs="Times New Roman"/>
          <w:lang w:val="it-IT"/>
        </w:rPr>
        <w:t xml:space="preserve">la </w:t>
      </w:r>
      <w:r w:rsidR="0028267A">
        <w:rPr>
          <w:rFonts w:ascii="Times New Roman" w:hAnsi="Times New Roman" w:cs="Times New Roman"/>
          <w:lang w:val="it-IT"/>
        </w:rPr>
        <w:t xml:space="preserve">mediana di </w:t>
      </w:r>
      <w:r w:rsidR="00210C82" w:rsidRPr="00EB063F">
        <w:rPr>
          <w:rFonts w:ascii="Times New Roman" w:hAnsi="Times New Roman" w:cs="Times New Roman"/>
          <w:lang w:val="it-IT"/>
        </w:rPr>
        <w:t xml:space="preserve">sopravvivenza globale non è stata raggiunta in tutti i pazienti randomizzati nel braccio con </w:t>
      </w:r>
      <w:proofErr w:type="spellStart"/>
      <w:r w:rsidR="00210C82" w:rsidRPr="00EB063F">
        <w:rPr>
          <w:rFonts w:ascii="Times New Roman" w:hAnsi="Times New Roman" w:cs="Times New Roman"/>
          <w:lang w:val="it-IT"/>
        </w:rPr>
        <w:t>nivolumab</w:t>
      </w:r>
      <w:proofErr w:type="spellEnd"/>
      <w:r w:rsidR="00210C82" w:rsidRPr="00EB063F">
        <w:rPr>
          <w:rFonts w:ascii="Times New Roman" w:hAnsi="Times New Roman" w:cs="Times New Roman"/>
          <w:lang w:val="it-IT"/>
        </w:rPr>
        <w:t xml:space="preserve"> </w:t>
      </w:r>
      <w:r w:rsidR="00DE5E28">
        <w:rPr>
          <w:rFonts w:ascii="Times New Roman" w:hAnsi="Times New Roman" w:cs="Times New Roman"/>
          <w:lang w:val="it-IT"/>
        </w:rPr>
        <w:t>più</w:t>
      </w:r>
      <w:r w:rsidR="00DE5E28" w:rsidRPr="00EB063F">
        <w:rPr>
          <w:rFonts w:ascii="Times New Roman" w:hAnsi="Times New Roman" w:cs="Times New Roman"/>
          <w:lang w:val="it-IT"/>
        </w:rPr>
        <w:t xml:space="preserve"> </w:t>
      </w:r>
      <w:proofErr w:type="spellStart"/>
      <w:r w:rsidR="00210C82" w:rsidRPr="00EB063F">
        <w:rPr>
          <w:rFonts w:ascii="Times New Roman" w:hAnsi="Times New Roman" w:cs="Times New Roman"/>
          <w:lang w:val="it-IT"/>
        </w:rPr>
        <w:t>ipilimumab</w:t>
      </w:r>
      <w:proofErr w:type="spellEnd"/>
      <w:r w:rsidR="00EC5791" w:rsidRPr="00EB063F">
        <w:rPr>
          <w:rFonts w:ascii="Times New Roman" w:hAnsi="Times New Roman" w:cs="Times New Roman"/>
          <w:lang w:val="it-IT"/>
        </w:rPr>
        <w:t xml:space="preserve">, </w:t>
      </w:r>
      <w:r w:rsidR="00210C82" w:rsidRPr="00EB063F">
        <w:rPr>
          <w:rFonts w:ascii="Times New Roman" w:hAnsi="Times New Roman" w:cs="Times New Roman"/>
          <w:lang w:val="it-IT"/>
        </w:rPr>
        <w:t xml:space="preserve">mentre era di </w:t>
      </w:r>
      <w:r w:rsidR="00EC5791" w:rsidRPr="00EB063F">
        <w:rPr>
          <w:rFonts w:ascii="Times New Roman" w:hAnsi="Times New Roman" w:cs="Times New Roman"/>
          <w:lang w:val="it-IT"/>
        </w:rPr>
        <w:t>38</w:t>
      </w:r>
      <w:r w:rsidR="00B52D36" w:rsidRPr="00EB063F">
        <w:rPr>
          <w:rFonts w:ascii="Times New Roman" w:hAnsi="Times New Roman" w:cs="Times New Roman"/>
          <w:lang w:val="it-IT"/>
        </w:rPr>
        <w:t>,</w:t>
      </w:r>
      <w:r w:rsidR="00330D39" w:rsidRPr="00EB063F">
        <w:rPr>
          <w:rFonts w:ascii="Times New Roman" w:hAnsi="Times New Roman" w:cs="Times New Roman"/>
          <w:lang w:val="it-IT"/>
        </w:rPr>
        <w:t xml:space="preserve">4 </w:t>
      </w:r>
      <w:r w:rsidR="00210C82" w:rsidRPr="00EB063F">
        <w:rPr>
          <w:rFonts w:ascii="Times New Roman" w:hAnsi="Times New Roman" w:cs="Times New Roman"/>
          <w:lang w:val="it-IT"/>
        </w:rPr>
        <w:t xml:space="preserve">mesi nel braccio con </w:t>
      </w:r>
      <w:r w:rsidR="00EC5791" w:rsidRPr="00EB063F">
        <w:rPr>
          <w:rFonts w:ascii="Times New Roman" w:hAnsi="Times New Roman" w:cs="Times New Roman"/>
          <w:lang w:val="it-IT"/>
        </w:rPr>
        <w:t>sunitinib</w:t>
      </w:r>
      <w:r w:rsidR="00EA1C6C" w:rsidRPr="00EB063F">
        <w:rPr>
          <w:rFonts w:ascii="Times New Roman" w:hAnsi="Times New Roman" w:cs="Times New Roman"/>
          <w:lang w:val="it-IT"/>
        </w:rPr>
        <w:t xml:space="preserve"> </w:t>
      </w:r>
      <w:r w:rsidR="00F82D96" w:rsidRPr="00EB063F">
        <w:rPr>
          <w:rFonts w:ascii="Times New Roman" w:hAnsi="Times New Roman" w:cs="Times New Roman"/>
          <w:lang w:val="it-IT"/>
        </w:rPr>
        <w:t>(</w:t>
      </w:r>
      <w:r w:rsidRPr="00EB063F">
        <w:rPr>
          <w:rFonts w:ascii="Times New Roman" w:hAnsi="Times New Roman" w:cs="Times New Roman"/>
          <w:lang w:val="it-IT"/>
        </w:rPr>
        <w:t>HR 0</w:t>
      </w:r>
      <w:r w:rsidR="00B52D36" w:rsidRPr="00EB063F">
        <w:rPr>
          <w:rFonts w:ascii="Times New Roman" w:hAnsi="Times New Roman" w:cs="Times New Roman"/>
          <w:lang w:val="it-IT"/>
        </w:rPr>
        <w:t>,</w:t>
      </w:r>
      <w:r w:rsidR="00330D39" w:rsidRPr="00EB063F">
        <w:rPr>
          <w:rFonts w:ascii="Times New Roman" w:hAnsi="Times New Roman" w:cs="Times New Roman"/>
          <w:lang w:val="it-IT"/>
        </w:rPr>
        <w:t>69</w:t>
      </w:r>
      <w:r w:rsidR="00123792" w:rsidRPr="00EB063F">
        <w:rPr>
          <w:rFonts w:ascii="Times New Roman" w:hAnsi="Times New Roman" w:cs="Times New Roman"/>
          <w:lang w:val="it-IT"/>
        </w:rPr>
        <w:t>;</w:t>
      </w:r>
      <w:r w:rsidR="00330D39" w:rsidRPr="00EB063F">
        <w:rPr>
          <w:rFonts w:ascii="Times New Roman" w:hAnsi="Times New Roman" w:cs="Times New Roman"/>
          <w:lang w:val="it-IT"/>
        </w:rPr>
        <w:t xml:space="preserve"> </w:t>
      </w:r>
      <w:r w:rsidR="00F82D96" w:rsidRPr="00EB063F">
        <w:rPr>
          <w:rFonts w:ascii="Times New Roman" w:hAnsi="Times New Roman" w:cs="Times New Roman"/>
          <w:lang w:val="it-IT"/>
        </w:rPr>
        <w:t>[</w:t>
      </w:r>
      <w:r w:rsidRPr="00EB063F">
        <w:rPr>
          <w:rFonts w:ascii="Times New Roman" w:hAnsi="Times New Roman" w:cs="Times New Roman"/>
          <w:lang w:val="it-IT"/>
        </w:rPr>
        <w:t>95% CI: 0</w:t>
      </w:r>
      <w:r w:rsidR="00B52D36" w:rsidRPr="00EB063F">
        <w:rPr>
          <w:rFonts w:ascii="Times New Roman" w:hAnsi="Times New Roman" w:cs="Times New Roman"/>
          <w:lang w:val="it-IT"/>
        </w:rPr>
        <w:t>,</w:t>
      </w:r>
      <w:r w:rsidRPr="00EB063F">
        <w:rPr>
          <w:rFonts w:ascii="Times New Roman" w:hAnsi="Times New Roman" w:cs="Times New Roman"/>
          <w:lang w:val="it-IT"/>
        </w:rPr>
        <w:t>5</w:t>
      </w:r>
      <w:r w:rsidR="00330D39" w:rsidRPr="00EB063F">
        <w:rPr>
          <w:rFonts w:ascii="Times New Roman" w:hAnsi="Times New Roman" w:cs="Times New Roman"/>
          <w:lang w:val="it-IT"/>
        </w:rPr>
        <w:t>9</w:t>
      </w:r>
      <w:r w:rsidR="00123792" w:rsidRPr="00EB063F">
        <w:rPr>
          <w:rFonts w:ascii="Times New Roman" w:hAnsi="Times New Roman" w:cs="Times New Roman"/>
          <w:lang w:val="it-IT"/>
        </w:rPr>
        <w:t xml:space="preserve"> </w:t>
      </w:r>
      <w:r w:rsidR="00B52D36" w:rsidRPr="00EB063F">
        <w:rPr>
          <w:rFonts w:ascii="Times New Roman" w:hAnsi="Times New Roman" w:cs="Times New Roman"/>
          <w:lang w:val="it-IT"/>
        </w:rPr>
        <w:t xml:space="preserve">– </w:t>
      </w:r>
      <w:r w:rsidRPr="00EB063F">
        <w:rPr>
          <w:rFonts w:ascii="Times New Roman" w:hAnsi="Times New Roman" w:cs="Times New Roman"/>
          <w:lang w:val="it-IT"/>
        </w:rPr>
        <w:t>0</w:t>
      </w:r>
      <w:r w:rsidR="00B52D36" w:rsidRPr="00EB063F">
        <w:rPr>
          <w:rFonts w:ascii="Times New Roman" w:hAnsi="Times New Roman" w:cs="Times New Roman"/>
          <w:lang w:val="it-IT"/>
        </w:rPr>
        <w:t>,</w:t>
      </w:r>
      <w:r w:rsidR="00330D39" w:rsidRPr="00EB063F">
        <w:rPr>
          <w:rFonts w:ascii="Times New Roman" w:hAnsi="Times New Roman" w:cs="Times New Roman"/>
          <w:lang w:val="it-IT"/>
        </w:rPr>
        <w:t>81</w:t>
      </w:r>
      <w:r w:rsidRPr="00EB063F">
        <w:rPr>
          <w:rFonts w:ascii="Times New Roman" w:hAnsi="Times New Roman" w:cs="Times New Roman"/>
          <w:lang w:val="it-IT"/>
        </w:rPr>
        <w:t>]</w:t>
      </w:r>
      <w:r w:rsidR="00F82D96" w:rsidRPr="00EB063F">
        <w:rPr>
          <w:rFonts w:ascii="Times New Roman" w:hAnsi="Times New Roman" w:cs="Times New Roman"/>
          <w:lang w:val="it-IT"/>
        </w:rPr>
        <w:t>)</w:t>
      </w:r>
      <w:r w:rsidRPr="00EB063F">
        <w:rPr>
          <w:rFonts w:ascii="Times New Roman" w:hAnsi="Times New Roman" w:cs="Times New Roman"/>
          <w:lang w:val="it-IT"/>
        </w:rPr>
        <w:t>.</w:t>
      </w:r>
      <w:r w:rsidR="00AE1D53" w:rsidRPr="00EB063F">
        <w:rPr>
          <w:rFonts w:ascii="Times New Roman" w:hAnsi="Times New Roman" w:cs="Times New Roman"/>
          <w:lang w:val="it-IT"/>
        </w:rPr>
        <w:t xml:space="preserve"> </w:t>
      </w:r>
      <w:r w:rsidR="00210C82" w:rsidRPr="00EB063F">
        <w:rPr>
          <w:rFonts w:ascii="Times New Roman" w:hAnsi="Times New Roman" w:cs="Times New Roman"/>
          <w:lang w:val="it-IT"/>
        </w:rPr>
        <w:t>I tassi di sopravvivenza globale a quattro anni erano</w:t>
      </w:r>
      <w:r w:rsidR="005B4052" w:rsidRPr="00EB063F">
        <w:rPr>
          <w:rFonts w:ascii="Times New Roman" w:hAnsi="Times New Roman" w:cs="Times New Roman"/>
          <w:lang w:val="it-IT"/>
        </w:rPr>
        <w:t xml:space="preserve"> pari a</w:t>
      </w:r>
      <w:r w:rsidR="007403F6" w:rsidRPr="00EB063F">
        <w:rPr>
          <w:rFonts w:ascii="Times New Roman" w:hAnsi="Times New Roman" w:cs="Times New Roman"/>
          <w:lang w:val="it-IT"/>
        </w:rPr>
        <w:t>l</w:t>
      </w:r>
      <w:r w:rsidR="00210C82" w:rsidRPr="00EB063F">
        <w:rPr>
          <w:rFonts w:ascii="Times New Roman" w:hAnsi="Times New Roman" w:cs="Times New Roman"/>
          <w:lang w:val="it-IT"/>
        </w:rPr>
        <w:t xml:space="preserve"> </w:t>
      </w:r>
      <w:r w:rsidR="00330D39" w:rsidRPr="00EB063F">
        <w:rPr>
          <w:rFonts w:ascii="Times New Roman" w:hAnsi="Times New Roman" w:cs="Times New Roman"/>
          <w:lang w:val="it-IT"/>
        </w:rPr>
        <w:t>53</w:t>
      </w:r>
      <w:r w:rsidR="005B4052" w:rsidRPr="00EB063F">
        <w:rPr>
          <w:rFonts w:ascii="Times New Roman" w:hAnsi="Times New Roman" w:cs="Times New Roman"/>
          <w:lang w:val="it-IT"/>
        </w:rPr>
        <w:t>,</w:t>
      </w:r>
      <w:r w:rsidR="00330D39" w:rsidRPr="00EB063F">
        <w:rPr>
          <w:rFonts w:ascii="Times New Roman" w:hAnsi="Times New Roman" w:cs="Times New Roman"/>
          <w:lang w:val="it-IT"/>
        </w:rPr>
        <w:t xml:space="preserve">4% </w:t>
      </w:r>
      <w:r w:rsidR="00210C82" w:rsidRPr="00EB063F">
        <w:rPr>
          <w:rFonts w:ascii="Times New Roman" w:hAnsi="Times New Roman" w:cs="Times New Roman"/>
          <w:lang w:val="it-IT"/>
        </w:rPr>
        <w:t>e</w:t>
      </w:r>
      <w:r w:rsidR="007403F6" w:rsidRPr="00EB063F">
        <w:rPr>
          <w:rFonts w:ascii="Times New Roman" w:hAnsi="Times New Roman" w:cs="Times New Roman"/>
          <w:lang w:val="it-IT"/>
        </w:rPr>
        <w:t xml:space="preserve"> al</w:t>
      </w:r>
      <w:r w:rsidR="00330D39" w:rsidRPr="00EB063F">
        <w:rPr>
          <w:rFonts w:ascii="Times New Roman" w:hAnsi="Times New Roman" w:cs="Times New Roman"/>
          <w:lang w:val="it-IT"/>
        </w:rPr>
        <w:t xml:space="preserve"> 43</w:t>
      </w:r>
      <w:r w:rsidR="005B4052" w:rsidRPr="00EB063F">
        <w:rPr>
          <w:rFonts w:ascii="Times New Roman" w:hAnsi="Times New Roman" w:cs="Times New Roman"/>
          <w:lang w:val="it-IT"/>
        </w:rPr>
        <w:t>,</w:t>
      </w:r>
      <w:r w:rsidR="00330D39" w:rsidRPr="00EB063F">
        <w:rPr>
          <w:rFonts w:ascii="Times New Roman" w:hAnsi="Times New Roman" w:cs="Times New Roman"/>
          <w:lang w:val="it-IT"/>
        </w:rPr>
        <w:t>3%</w:t>
      </w:r>
      <w:r w:rsidR="00AE1D53" w:rsidRPr="00EB063F">
        <w:rPr>
          <w:rFonts w:ascii="Times New Roman" w:hAnsi="Times New Roman" w:cs="Times New Roman"/>
          <w:lang w:val="it-IT"/>
        </w:rPr>
        <w:t xml:space="preserve">, </w:t>
      </w:r>
      <w:r w:rsidR="00210C82" w:rsidRPr="00EB063F">
        <w:rPr>
          <w:rFonts w:ascii="Times New Roman" w:hAnsi="Times New Roman" w:cs="Times New Roman"/>
          <w:lang w:val="it-IT"/>
        </w:rPr>
        <w:t>rispettivamente</w:t>
      </w:r>
      <w:r w:rsidR="00AE1D53" w:rsidRPr="00EB063F">
        <w:rPr>
          <w:rFonts w:ascii="Times New Roman" w:hAnsi="Times New Roman" w:cs="Times New Roman"/>
          <w:lang w:val="it-IT"/>
        </w:rPr>
        <w:t>.</w:t>
      </w:r>
    </w:p>
    <w:p w14:paraId="49473459" w14:textId="4FC2A69F" w:rsidR="00B33BD6" w:rsidRPr="00936239" w:rsidRDefault="0029452E" w:rsidP="00B3416D">
      <w:pPr>
        <w:pStyle w:val="Paragrafoelenco"/>
        <w:numPr>
          <w:ilvl w:val="0"/>
          <w:numId w:val="3"/>
        </w:numPr>
        <w:spacing w:line="360" w:lineRule="auto"/>
        <w:ind w:right="115"/>
        <w:jc w:val="both"/>
        <w:rPr>
          <w:rFonts w:ascii="Times New Roman" w:hAnsi="Times New Roman" w:cs="Times New Roman"/>
          <w:lang w:val="it-IT"/>
        </w:rPr>
      </w:pPr>
      <w:r w:rsidRPr="00936239">
        <w:rPr>
          <w:rFonts w:ascii="Times New Roman" w:hAnsi="Times New Roman" w:cs="Times New Roman"/>
          <w:lang w:val="it-IT"/>
        </w:rPr>
        <w:t xml:space="preserve">ORR: </w:t>
      </w:r>
      <w:proofErr w:type="spellStart"/>
      <w:r w:rsidRPr="00936239">
        <w:rPr>
          <w:rFonts w:ascii="Times New Roman" w:hAnsi="Times New Roman" w:cs="Times New Roman"/>
          <w:lang w:val="it-IT"/>
        </w:rPr>
        <w:t>n</w:t>
      </w:r>
      <w:r w:rsidR="00210C82" w:rsidRPr="00936239">
        <w:rPr>
          <w:rFonts w:ascii="Times New Roman" w:hAnsi="Times New Roman" w:cs="Times New Roman"/>
          <w:lang w:val="it-IT"/>
        </w:rPr>
        <w:t>ivolumab</w:t>
      </w:r>
      <w:proofErr w:type="spellEnd"/>
      <w:r w:rsidR="00210C82" w:rsidRPr="00936239">
        <w:rPr>
          <w:rFonts w:ascii="Times New Roman" w:hAnsi="Times New Roman" w:cs="Times New Roman"/>
          <w:lang w:val="it-IT"/>
        </w:rPr>
        <w:t xml:space="preserve"> </w:t>
      </w:r>
      <w:r w:rsidR="004A44F8">
        <w:rPr>
          <w:rFonts w:ascii="Times New Roman" w:hAnsi="Times New Roman" w:cs="Times New Roman"/>
          <w:lang w:val="it-IT"/>
        </w:rPr>
        <w:t>più</w:t>
      </w:r>
      <w:r w:rsidR="00210C82" w:rsidRPr="00936239">
        <w:rPr>
          <w:rFonts w:ascii="Times New Roman" w:hAnsi="Times New Roman" w:cs="Times New Roman"/>
          <w:lang w:val="it-IT"/>
        </w:rPr>
        <w:t xml:space="preserve"> </w:t>
      </w:r>
      <w:proofErr w:type="spellStart"/>
      <w:r w:rsidR="00210C82" w:rsidRPr="00936239">
        <w:rPr>
          <w:rFonts w:ascii="Times New Roman" w:hAnsi="Times New Roman" w:cs="Times New Roman"/>
          <w:lang w:val="it-IT"/>
        </w:rPr>
        <w:t>ipilimumab</w:t>
      </w:r>
      <w:proofErr w:type="spellEnd"/>
      <w:r w:rsidR="00210C82" w:rsidRPr="00936239">
        <w:rPr>
          <w:rFonts w:ascii="Times New Roman" w:hAnsi="Times New Roman" w:cs="Times New Roman"/>
          <w:i/>
          <w:iCs/>
          <w:lang w:val="it-IT"/>
        </w:rPr>
        <w:t xml:space="preserve"> </w:t>
      </w:r>
      <w:r w:rsidR="00210C82" w:rsidRPr="00936239">
        <w:rPr>
          <w:rFonts w:ascii="Times New Roman" w:hAnsi="Times New Roman" w:cs="Times New Roman"/>
          <w:lang w:val="it-IT"/>
        </w:rPr>
        <w:t>hanno continuato</w:t>
      </w:r>
      <w:r w:rsidR="00210C82" w:rsidRPr="00936239">
        <w:rPr>
          <w:rFonts w:ascii="Times New Roman" w:hAnsi="Times New Roman" w:cs="Times New Roman"/>
          <w:i/>
          <w:iCs/>
          <w:lang w:val="it-IT"/>
        </w:rPr>
        <w:t xml:space="preserve"> </w:t>
      </w:r>
      <w:r w:rsidR="00210C82" w:rsidRPr="00936239">
        <w:rPr>
          <w:rFonts w:ascii="Times New Roman" w:hAnsi="Times New Roman" w:cs="Times New Roman"/>
          <w:lang w:val="it-IT"/>
        </w:rPr>
        <w:t xml:space="preserve">a mostrare </w:t>
      </w:r>
      <w:r w:rsidR="00F30669" w:rsidRPr="00936239">
        <w:rPr>
          <w:rFonts w:ascii="Times New Roman" w:hAnsi="Times New Roman" w:cs="Times New Roman"/>
          <w:lang w:val="it-IT"/>
        </w:rPr>
        <w:t>un tasso di risposta globale (</w:t>
      </w:r>
      <w:r w:rsidR="00B33BD6" w:rsidRPr="00936239">
        <w:rPr>
          <w:rFonts w:ascii="Times New Roman" w:hAnsi="Times New Roman" w:cs="Times New Roman"/>
          <w:lang w:val="it-IT"/>
        </w:rPr>
        <w:t>ORR</w:t>
      </w:r>
      <w:r w:rsidR="00F30669" w:rsidRPr="00936239">
        <w:rPr>
          <w:rFonts w:ascii="Times New Roman" w:hAnsi="Times New Roman" w:cs="Times New Roman"/>
          <w:lang w:val="it-IT"/>
        </w:rPr>
        <w:t>)</w:t>
      </w:r>
      <w:r w:rsidR="00210C82" w:rsidRPr="00936239">
        <w:rPr>
          <w:rFonts w:ascii="Times New Roman" w:hAnsi="Times New Roman" w:cs="Times New Roman"/>
          <w:lang w:val="it-IT"/>
        </w:rPr>
        <w:t xml:space="preserve"> numericamente più alto</w:t>
      </w:r>
      <w:r w:rsidR="00B33BD6" w:rsidRPr="00936239">
        <w:rPr>
          <w:rFonts w:ascii="Times New Roman" w:hAnsi="Times New Roman" w:cs="Times New Roman"/>
          <w:lang w:val="it-IT"/>
        </w:rPr>
        <w:t xml:space="preserve">, </w:t>
      </w:r>
      <w:r w:rsidR="00210C82" w:rsidRPr="00936239">
        <w:rPr>
          <w:rFonts w:ascii="Times New Roman" w:hAnsi="Times New Roman" w:cs="Times New Roman"/>
          <w:lang w:val="it-IT"/>
        </w:rPr>
        <w:t xml:space="preserve">con ulteriori risposte in corso rispetto a </w:t>
      </w:r>
      <w:r w:rsidR="00B33BD6" w:rsidRPr="00936239">
        <w:rPr>
          <w:rFonts w:ascii="Times New Roman" w:hAnsi="Times New Roman" w:cs="Times New Roman"/>
          <w:lang w:val="it-IT"/>
        </w:rPr>
        <w:t>sunitinib (65% vs. 52%).</w:t>
      </w:r>
    </w:p>
    <w:p w14:paraId="68366ACD" w14:textId="797F1287" w:rsidR="00095D68" w:rsidRPr="00EB063F" w:rsidRDefault="00424393" w:rsidP="00B3416D">
      <w:pPr>
        <w:pStyle w:val="Paragrafoelenco"/>
        <w:numPr>
          <w:ilvl w:val="0"/>
          <w:numId w:val="3"/>
        </w:numPr>
        <w:spacing w:line="360" w:lineRule="auto"/>
        <w:ind w:right="115"/>
        <w:jc w:val="both"/>
        <w:rPr>
          <w:rFonts w:ascii="Times New Roman" w:hAnsi="Times New Roman" w:cs="Times New Roman"/>
          <w:lang w:val="it-IT"/>
        </w:rPr>
      </w:pPr>
      <w:r w:rsidRPr="00EB063F">
        <w:rPr>
          <w:rFonts w:ascii="Times New Roman" w:hAnsi="Times New Roman" w:cs="Times New Roman"/>
          <w:lang w:val="it-IT"/>
        </w:rPr>
        <w:t xml:space="preserve">CR: </w:t>
      </w:r>
      <w:r w:rsidR="00210C82" w:rsidRPr="00EB063F">
        <w:rPr>
          <w:rFonts w:ascii="Times New Roman" w:hAnsi="Times New Roman" w:cs="Times New Roman"/>
          <w:lang w:val="it-IT"/>
        </w:rPr>
        <w:t>come riportato in precedenza, l’</w:t>
      </w:r>
      <w:r w:rsidRPr="00EB063F">
        <w:rPr>
          <w:rFonts w:ascii="Times New Roman" w:hAnsi="Times New Roman" w:cs="Times New Roman"/>
          <w:lang w:val="it-IT"/>
        </w:rPr>
        <w:t xml:space="preserve">11% </w:t>
      </w:r>
      <w:r w:rsidR="00210C82" w:rsidRPr="00EB063F">
        <w:rPr>
          <w:rFonts w:ascii="Times New Roman" w:hAnsi="Times New Roman" w:cs="Times New Roman"/>
          <w:lang w:val="it-IT"/>
        </w:rPr>
        <w:t xml:space="preserve">dei pazienti che hanno ricevuto la combinazione di </w:t>
      </w:r>
      <w:proofErr w:type="spellStart"/>
      <w:r w:rsidR="00210C82" w:rsidRPr="00EB063F">
        <w:rPr>
          <w:rFonts w:ascii="Times New Roman" w:hAnsi="Times New Roman" w:cs="Times New Roman"/>
          <w:lang w:val="it-IT"/>
        </w:rPr>
        <w:t>nivolumab</w:t>
      </w:r>
      <w:proofErr w:type="spellEnd"/>
      <w:r w:rsidR="00210C82" w:rsidRPr="00EB063F">
        <w:rPr>
          <w:rFonts w:ascii="Times New Roman" w:hAnsi="Times New Roman" w:cs="Times New Roman"/>
          <w:lang w:val="it-IT"/>
        </w:rPr>
        <w:t xml:space="preserve"> </w:t>
      </w:r>
      <w:r w:rsidR="004A44F8">
        <w:rPr>
          <w:rFonts w:ascii="Times New Roman" w:hAnsi="Times New Roman" w:cs="Times New Roman"/>
          <w:lang w:val="it-IT"/>
        </w:rPr>
        <w:t>più</w:t>
      </w:r>
      <w:r w:rsidR="00210C82" w:rsidRPr="00EB063F">
        <w:rPr>
          <w:rFonts w:ascii="Times New Roman" w:hAnsi="Times New Roman" w:cs="Times New Roman"/>
          <w:lang w:val="it-IT"/>
        </w:rPr>
        <w:t xml:space="preserve"> </w:t>
      </w:r>
      <w:proofErr w:type="spellStart"/>
      <w:r w:rsidR="00210C82" w:rsidRPr="00EB063F">
        <w:rPr>
          <w:rFonts w:ascii="Times New Roman" w:hAnsi="Times New Roman" w:cs="Times New Roman"/>
          <w:lang w:val="it-IT"/>
        </w:rPr>
        <w:t>ipilimumab</w:t>
      </w:r>
      <w:proofErr w:type="spellEnd"/>
      <w:r w:rsidR="00210C82" w:rsidRPr="00EB063F">
        <w:rPr>
          <w:rFonts w:ascii="Times New Roman" w:hAnsi="Times New Roman" w:cs="Times New Roman"/>
          <w:lang w:val="it-IT"/>
        </w:rPr>
        <w:t xml:space="preserve"> ha raggiunto la risposta completa </w:t>
      </w:r>
      <w:r w:rsidR="005B4052" w:rsidRPr="00EB063F">
        <w:rPr>
          <w:rFonts w:ascii="Times New Roman" w:hAnsi="Times New Roman" w:cs="Times New Roman"/>
          <w:lang w:val="it-IT"/>
        </w:rPr>
        <w:t>rispetto al</w:t>
      </w:r>
      <w:r w:rsidRPr="00EB063F">
        <w:rPr>
          <w:rFonts w:ascii="Times New Roman" w:hAnsi="Times New Roman" w:cs="Times New Roman"/>
          <w:lang w:val="it-IT"/>
        </w:rPr>
        <w:t xml:space="preserve"> 3% </w:t>
      </w:r>
      <w:r w:rsidR="00912A42" w:rsidRPr="00EB063F">
        <w:rPr>
          <w:rFonts w:ascii="Times New Roman" w:hAnsi="Times New Roman" w:cs="Times New Roman"/>
          <w:lang w:val="it-IT"/>
        </w:rPr>
        <w:t xml:space="preserve">con </w:t>
      </w:r>
      <w:r w:rsidRPr="00EB063F">
        <w:rPr>
          <w:rFonts w:ascii="Times New Roman" w:hAnsi="Times New Roman" w:cs="Times New Roman"/>
          <w:lang w:val="it-IT"/>
        </w:rPr>
        <w:t>sunitinib.</w:t>
      </w:r>
    </w:p>
    <w:p w14:paraId="3DD9D236" w14:textId="1AF6AD0C" w:rsidR="009705BF" w:rsidRPr="00EB063F" w:rsidRDefault="009705BF" w:rsidP="00B3416D">
      <w:pPr>
        <w:pStyle w:val="Paragrafoelenco"/>
        <w:numPr>
          <w:ilvl w:val="0"/>
          <w:numId w:val="3"/>
        </w:numPr>
        <w:spacing w:line="360" w:lineRule="auto"/>
        <w:ind w:right="115"/>
        <w:jc w:val="both"/>
        <w:rPr>
          <w:rFonts w:ascii="Times New Roman" w:hAnsi="Times New Roman" w:cs="Times New Roman"/>
          <w:lang w:val="it-IT"/>
        </w:rPr>
      </w:pPr>
      <w:r w:rsidRPr="00EB063F">
        <w:rPr>
          <w:rFonts w:ascii="Times New Roman" w:hAnsi="Times New Roman" w:cs="Times New Roman"/>
          <w:lang w:val="it-IT"/>
        </w:rPr>
        <w:t xml:space="preserve">mDOR: </w:t>
      </w:r>
      <w:r w:rsidR="0029452E" w:rsidRPr="00EB063F">
        <w:rPr>
          <w:rFonts w:ascii="Times New Roman" w:hAnsi="Times New Roman" w:cs="Times New Roman"/>
          <w:lang w:val="it-IT"/>
        </w:rPr>
        <w:t xml:space="preserve">nei pazienti trattati </w:t>
      </w:r>
      <w:r w:rsidR="00A41E6F" w:rsidRPr="00EB063F">
        <w:rPr>
          <w:rFonts w:ascii="Times New Roman" w:hAnsi="Times New Roman" w:cs="Times New Roman"/>
          <w:lang w:val="it-IT"/>
        </w:rPr>
        <w:t xml:space="preserve">con </w:t>
      </w:r>
      <w:proofErr w:type="spellStart"/>
      <w:r w:rsidR="00A41E6F" w:rsidRPr="00EB063F">
        <w:rPr>
          <w:rFonts w:ascii="Times New Roman" w:hAnsi="Times New Roman" w:cs="Times New Roman"/>
          <w:lang w:val="it-IT"/>
        </w:rPr>
        <w:t>nivolumab</w:t>
      </w:r>
      <w:proofErr w:type="spellEnd"/>
      <w:r w:rsidR="00A41E6F" w:rsidRPr="00EB063F">
        <w:rPr>
          <w:rFonts w:ascii="Times New Roman" w:hAnsi="Times New Roman" w:cs="Times New Roman"/>
          <w:lang w:val="it-IT"/>
        </w:rPr>
        <w:t xml:space="preserve"> </w:t>
      </w:r>
      <w:r w:rsidR="004A44F8">
        <w:rPr>
          <w:rFonts w:ascii="Times New Roman" w:hAnsi="Times New Roman" w:cs="Times New Roman"/>
          <w:lang w:val="it-IT"/>
        </w:rPr>
        <w:t>più</w:t>
      </w:r>
      <w:r w:rsidR="00A41E6F" w:rsidRPr="00EB063F">
        <w:rPr>
          <w:rFonts w:ascii="Times New Roman" w:hAnsi="Times New Roman" w:cs="Times New Roman"/>
          <w:lang w:val="it-IT"/>
        </w:rPr>
        <w:t xml:space="preserve"> </w:t>
      </w:r>
      <w:proofErr w:type="spellStart"/>
      <w:r w:rsidR="00A41E6F" w:rsidRPr="00EB063F">
        <w:rPr>
          <w:rFonts w:ascii="Times New Roman" w:hAnsi="Times New Roman" w:cs="Times New Roman"/>
          <w:lang w:val="it-IT"/>
        </w:rPr>
        <w:t>ipilimumab</w:t>
      </w:r>
      <w:proofErr w:type="spellEnd"/>
      <w:r w:rsidR="00A41E6F" w:rsidRPr="00EB063F">
        <w:rPr>
          <w:rFonts w:ascii="Times New Roman" w:hAnsi="Times New Roman" w:cs="Times New Roman"/>
          <w:lang w:val="it-IT"/>
        </w:rPr>
        <w:t xml:space="preserve"> </w:t>
      </w:r>
      <w:r w:rsidR="00A96972" w:rsidRPr="00EB063F">
        <w:rPr>
          <w:rFonts w:ascii="Times New Roman" w:hAnsi="Times New Roman" w:cs="Times New Roman"/>
          <w:lang w:val="it-IT"/>
        </w:rPr>
        <w:t xml:space="preserve">la durata mediana della risposta </w:t>
      </w:r>
      <w:r w:rsidR="00A41E6F" w:rsidRPr="00EB063F">
        <w:rPr>
          <w:rFonts w:ascii="Times New Roman" w:hAnsi="Times New Roman" w:cs="Times New Roman"/>
          <w:lang w:val="it-IT"/>
        </w:rPr>
        <w:t>non è stata raggiunta</w:t>
      </w:r>
      <w:r w:rsidR="00936239" w:rsidRPr="00EB063F">
        <w:rPr>
          <w:rFonts w:ascii="Times New Roman" w:hAnsi="Times New Roman" w:cs="Times New Roman"/>
          <w:lang w:val="it-IT"/>
        </w:rPr>
        <w:t>,</w:t>
      </w:r>
      <w:r w:rsidR="00A41E6F" w:rsidRPr="00EB063F">
        <w:rPr>
          <w:rFonts w:ascii="Times New Roman" w:hAnsi="Times New Roman" w:cs="Times New Roman"/>
          <w:lang w:val="it-IT"/>
        </w:rPr>
        <w:t xml:space="preserve"> mentre era</w:t>
      </w:r>
      <w:r w:rsidR="005B4052" w:rsidRPr="00EB063F">
        <w:rPr>
          <w:rFonts w:ascii="Times New Roman" w:hAnsi="Times New Roman" w:cs="Times New Roman"/>
          <w:lang w:val="it-IT"/>
        </w:rPr>
        <w:t xml:space="preserve"> di</w:t>
      </w:r>
      <w:r w:rsidR="00A41E6F" w:rsidRPr="00EB063F">
        <w:rPr>
          <w:rFonts w:ascii="Times New Roman" w:hAnsi="Times New Roman" w:cs="Times New Roman"/>
          <w:lang w:val="it-IT"/>
        </w:rPr>
        <w:t xml:space="preserve"> </w:t>
      </w:r>
      <w:r w:rsidR="00691B78" w:rsidRPr="00EB063F">
        <w:rPr>
          <w:rFonts w:ascii="Times New Roman" w:hAnsi="Times New Roman" w:cs="Times New Roman"/>
          <w:lang w:val="it-IT"/>
        </w:rPr>
        <w:t>23</w:t>
      </w:r>
      <w:r w:rsidR="005B4052" w:rsidRPr="00EB063F">
        <w:rPr>
          <w:rFonts w:ascii="Times New Roman" w:hAnsi="Times New Roman" w:cs="Times New Roman"/>
          <w:lang w:val="it-IT"/>
        </w:rPr>
        <w:t>,</w:t>
      </w:r>
      <w:r w:rsidR="00691B78" w:rsidRPr="00EB063F">
        <w:rPr>
          <w:rFonts w:ascii="Times New Roman" w:hAnsi="Times New Roman" w:cs="Times New Roman"/>
          <w:lang w:val="it-IT"/>
        </w:rPr>
        <w:t xml:space="preserve">7 </w:t>
      </w:r>
      <w:r w:rsidR="00A41E6F" w:rsidRPr="00EB063F">
        <w:rPr>
          <w:rFonts w:ascii="Times New Roman" w:hAnsi="Times New Roman" w:cs="Times New Roman"/>
          <w:lang w:val="it-IT"/>
        </w:rPr>
        <w:t xml:space="preserve">mesi con </w:t>
      </w:r>
      <w:r w:rsidRPr="00EB063F">
        <w:rPr>
          <w:rFonts w:ascii="Times New Roman" w:hAnsi="Times New Roman" w:cs="Times New Roman"/>
          <w:lang w:val="it-IT"/>
        </w:rPr>
        <w:t xml:space="preserve">sunitinib. </w:t>
      </w:r>
    </w:p>
    <w:p w14:paraId="00691E0A" w14:textId="77777777" w:rsidR="00A96972" w:rsidRPr="00EB063F" w:rsidRDefault="00A96972" w:rsidP="00B3416D">
      <w:pPr>
        <w:spacing w:line="360" w:lineRule="auto"/>
        <w:ind w:firstLine="720"/>
        <w:jc w:val="both"/>
        <w:rPr>
          <w:rFonts w:ascii="Times New Roman" w:hAnsi="Times New Roman" w:cs="Times New Roman"/>
          <w:bCs/>
          <w:iCs/>
          <w:lang w:val="it-IT"/>
        </w:rPr>
      </w:pPr>
    </w:p>
    <w:p w14:paraId="1B47C227" w14:textId="04595D56" w:rsidR="00095D68" w:rsidRPr="00EB063F" w:rsidRDefault="00A41E6F" w:rsidP="00B3416D">
      <w:pPr>
        <w:spacing w:line="360" w:lineRule="auto"/>
        <w:ind w:firstLine="720"/>
        <w:jc w:val="both"/>
        <w:rPr>
          <w:rFonts w:ascii="Times New Roman" w:hAnsi="Times New Roman" w:cs="Times New Roman"/>
          <w:lang w:val="it-IT"/>
        </w:rPr>
      </w:pPr>
      <w:r w:rsidRPr="00EB063F">
        <w:rPr>
          <w:rFonts w:ascii="Times New Roman" w:hAnsi="Times New Roman" w:cs="Times New Roman"/>
          <w:bCs/>
          <w:iCs/>
          <w:lang w:val="it-IT"/>
        </w:rPr>
        <w:t xml:space="preserve">Il profilo di sicurezza di </w:t>
      </w:r>
      <w:proofErr w:type="spellStart"/>
      <w:r w:rsidRPr="00EB063F">
        <w:rPr>
          <w:rFonts w:ascii="Times New Roman" w:hAnsi="Times New Roman" w:cs="Times New Roman"/>
          <w:bCs/>
          <w:iCs/>
          <w:lang w:val="it-IT"/>
        </w:rPr>
        <w:t>nivolumab</w:t>
      </w:r>
      <w:proofErr w:type="spellEnd"/>
      <w:r w:rsidRPr="00EB063F">
        <w:rPr>
          <w:rFonts w:ascii="Times New Roman" w:hAnsi="Times New Roman" w:cs="Times New Roman"/>
          <w:bCs/>
          <w:iCs/>
          <w:lang w:val="it-IT"/>
        </w:rPr>
        <w:t xml:space="preserve"> </w:t>
      </w:r>
      <w:r w:rsidR="009716A0">
        <w:rPr>
          <w:rFonts w:ascii="Times New Roman" w:hAnsi="Times New Roman" w:cs="Times New Roman"/>
          <w:lang w:val="it-IT"/>
        </w:rPr>
        <w:t>più</w:t>
      </w:r>
      <w:r w:rsidRPr="00EB063F">
        <w:rPr>
          <w:rFonts w:ascii="Times New Roman" w:hAnsi="Times New Roman" w:cs="Times New Roman"/>
          <w:bCs/>
          <w:iCs/>
          <w:lang w:val="it-IT"/>
        </w:rPr>
        <w:t xml:space="preserve"> </w:t>
      </w:r>
      <w:proofErr w:type="spellStart"/>
      <w:r w:rsidRPr="00EB063F">
        <w:rPr>
          <w:rFonts w:ascii="Times New Roman" w:hAnsi="Times New Roman" w:cs="Times New Roman"/>
          <w:bCs/>
          <w:iCs/>
          <w:lang w:val="it-IT"/>
        </w:rPr>
        <w:t>ipilimumab</w:t>
      </w:r>
      <w:proofErr w:type="spellEnd"/>
      <w:r w:rsidRPr="00EB063F">
        <w:rPr>
          <w:rFonts w:ascii="Times New Roman" w:hAnsi="Times New Roman" w:cs="Times New Roman"/>
          <w:bCs/>
          <w:iCs/>
          <w:lang w:val="it-IT"/>
        </w:rPr>
        <w:t xml:space="preserve"> era gestibile tramite gli algoritmi di trattamento stabilit</w:t>
      </w:r>
      <w:r w:rsidR="00A96972" w:rsidRPr="00EB063F">
        <w:rPr>
          <w:rFonts w:ascii="Times New Roman" w:hAnsi="Times New Roman" w:cs="Times New Roman"/>
          <w:bCs/>
          <w:iCs/>
          <w:lang w:val="it-IT"/>
        </w:rPr>
        <w:t>i</w:t>
      </w:r>
      <w:r w:rsidR="00095D68" w:rsidRPr="00EB063F">
        <w:rPr>
          <w:rFonts w:ascii="Times New Roman" w:hAnsi="Times New Roman" w:cs="Times New Roman"/>
          <w:bCs/>
          <w:iCs/>
          <w:lang w:val="it-IT"/>
        </w:rPr>
        <w:t xml:space="preserve"> </w:t>
      </w:r>
      <w:r w:rsidRPr="00EB063F">
        <w:rPr>
          <w:rFonts w:ascii="Times New Roman" w:hAnsi="Times New Roman" w:cs="Times New Roman"/>
          <w:bCs/>
          <w:iCs/>
          <w:lang w:val="it-IT"/>
        </w:rPr>
        <w:t xml:space="preserve">e non sono emersi </w:t>
      </w:r>
      <w:r w:rsidR="00EB063F">
        <w:rPr>
          <w:rFonts w:ascii="Times New Roman" w:hAnsi="Times New Roman" w:cs="Times New Roman"/>
          <w:bCs/>
          <w:iCs/>
          <w:lang w:val="it-IT"/>
        </w:rPr>
        <w:t xml:space="preserve">nuovi </w:t>
      </w:r>
      <w:r w:rsidRPr="00EB063F">
        <w:rPr>
          <w:rFonts w:ascii="Times New Roman" w:hAnsi="Times New Roman" w:cs="Times New Roman"/>
          <w:bCs/>
          <w:iCs/>
          <w:lang w:val="it-IT"/>
        </w:rPr>
        <w:t>segnali di sicurezza nell’estensione del follow-up.</w:t>
      </w:r>
      <w:r w:rsidR="00095D68" w:rsidRPr="00EB063F">
        <w:rPr>
          <w:rFonts w:ascii="Times New Roman" w:hAnsi="Times New Roman" w:cs="Times New Roman"/>
          <w:bCs/>
          <w:iCs/>
          <w:lang w:val="it-IT"/>
        </w:rPr>
        <w:t xml:space="preserve"> </w:t>
      </w:r>
      <w:r w:rsidRPr="00EB063F">
        <w:rPr>
          <w:rFonts w:ascii="Times New Roman" w:hAnsi="Times New Roman" w:cs="Times New Roman"/>
          <w:bCs/>
          <w:iCs/>
          <w:lang w:val="it-IT"/>
        </w:rPr>
        <w:t xml:space="preserve">Questi dati </w:t>
      </w:r>
      <w:r w:rsidR="0029452E" w:rsidRPr="00EB063F">
        <w:rPr>
          <w:rFonts w:ascii="Times New Roman" w:hAnsi="Times New Roman" w:cs="Times New Roman"/>
          <w:bCs/>
          <w:iCs/>
          <w:lang w:val="it-IT"/>
        </w:rPr>
        <w:t xml:space="preserve">sono stati </w:t>
      </w:r>
      <w:r w:rsidRPr="00EB063F">
        <w:rPr>
          <w:rFonts w:ascii="Times New Roman" w:hAnsi="Times New Roman" w:cs="Times New Roman"/>
          <w:bCs/>
          <w:iCs/>
          <w:lang w:val="it-IT"/>
        </w:rPr>
        <w:t xml:space="preserve">pubblicati </w:t>
      </w:r>
      <w:r w:rsidR="009116AF" w:rsidRPr="00EB063F">
        <w:rPr>
          <w:rFonts w:ascii="Times New Roman" w:hAnsi="Times New Roman" w:cs="Times New Roman"/>
          <w:bCs/>
          <w:iCs/>
          <w:lang w:val="it-IT"/>
        </w:rPr>
        <w:t xml:space="preserve">online </w:t>
      </w:r>
      <w:r w:rsidRPr="00EB063F">
        <w:rPr>
          <w:rFonts w:ascii="Times New Roman" w:hAnsi="Times New Roman" w:cs="Times New Roman"/>
          <w:bCs/>
          <w:iCs/>
          <w:lang w:val="it-IT"/>
        </w:rPr>
        <w:t>sul sito</w:t>
      </w:r>
      <w:r w:rsidR="005B4052" w:rsidRPr="00EB063F">
        <w:rPr>
          <w:rFonts w:ascii="Times New Roman" w:hAnsi="Times New Roman" w:cs="Times New Roman"/>
          <w:bCs/>
          <w:iCs/>
          <w:lang w:val="it-IT"/>
        </w:rPr>
        <w:t xml:space="preserve"> del</w:t>
      </w:r>
      <w:r w:rsidR="005B4052" w:rsidRPr="00EB063F">
        <w:rPr>
          <w:rFonts w:ascii="Times New Roman" w:hAnsi="Times New Roman" w:cs="Times New Roman"/>
          <w:bCs/>
          <w:i/>
          <w:iCs/>
          <w:lang w:val="it-IT"/>
        </w:rPr>
        <w:t xml:space="preserve"> </w:t>
      </w:r>
      <w:r w:rsidR="005B4052" w:rsidRPr="00EB063F">
        <w:rPr>
          <w:rFonts w:ascii="Times New Roman" w:hAnsi="Times New Roman" w:cs="Times New Roman"/>
          <w:bCs/>
          <w:lang w:val="it-IT"/>
        </w:rPr>
        <w:t xml:space="preserve">Congresso virtuale </w:t>
      </w:r>
      <w:r w:rsidR="0029452E" w:rsidRPr="00EB063F">
        <w:rPr>
          <w:rFonts w:ascii="Times New Roman" w:hAnsi="Times New Roman" w:cs="Times New Roman"/>
          <w:bCs/>
          <w:lang w:val="it-IT"/>
        </w:rPr>
        <w:t xml:space="preserve">2020 </w:t>
      </w:r>
      <w:r w:rsidR="005B4052" w:rsidRPr="00EB063F">
        <w:rPr>
          <w:rFonts w:ascii="Times New Roman" w:hAnsi="Times New Roman" w:cs="Times New Roman"/>
          <w:bCs/>
          <w:lang w:val="it-IT"/>
        </w:rPr>
        <w:t>della Società Europea di Oncologia Medica (ESMO),</w:t>
      </w:r>
      <w:r w:rsidR="005B4052" w:rsidRPr="00EB063F">
        <w:rPr>
          <w:rFonts w:ascii="Times New Roman" w:hAnsi="Times New Roman" w:cs="Times New Roman"/>
          <w:bCs/>
          <w:i/>
          <w:iCs/>
          <w:lang w:val="it-IT"/>
        </w:rPr>
        <w:t xml:space="preserve"> </w:t>
      </w:r>
      <w:r w:rsidRPr="00EB063F">
        <w:rPr>
          <w:rFonts w:ascii="Times New Roman" w:hAnsi="Times New Roman" w:cs="Times New Roman"/>
          <w:bCs/>
          <w:iCs/>
          <w:lang w:val="it-IT"/>
        </w:rPr>
        <w:t xml:space="preserve">il 17 settembre </w:t>
      </w:r>
      <w:r w:rsidR="00095D68" w:rsidRPr="00EB063F">
        <w:rPr>
          <w:rFonts w:ascii="Times New Roman" w:hAnsi="Times New Roman" w:cs="Times New Roman"/>
          <w:bCs/>
          <w:iCs/>
          <w:lang w:val="it-IT"/>
        </w:rPr>
        <w:t xml:space="preserve">2020 </w:t>
      </w:r>
      <w:r w:rsidRPr="00EB063F">
        <w:rPr>
          <w:rFonts w:ascii="Times New Roman" w:hAnsi="Times New Roman" w:cs="Times New Roman"/>
          <w:bCs/>
          <w:iCs/>
          <w:lang w:val="it-IT"/>
        </w:rPr>
        <w:t xml:space="preserve">alle </w:t>
      </w:r>
      <w:r w:rsidR="00BD527F" w:rsidRPr="00EB063F">
        <w:rPr>
          <w:rFonts w:ascii="Times New Roman" w:hAnsi="Times New Roman" w:cs="Times New Roman"/>
          <w:bCs/>
          <w:iCs/>
          <w:lang w:val="it-IT"/>
        </w:rPr>
        <w:t>9:00</w:t>
      </w:r>
      <w:r w:rsidR="00095D68" w:rsidRPr="00EB063F">
        <w:rPr>
          <w:rFonts w:ascii="Times New Roman" w:hAnsi="Times New Roman" w:cs="Times New Roman"/>
          <w:bCs/>
          <w:iCs/>
          <w:lang w:val="it-IT"/>
        </w:rPr>
        <w:t xml:space="preserve"> CEST (</w:t>
      </w:r>
      <w:r w:rsidR="00095D68" w:rsidRPr="00EB063F">
        <w:rPr>
          <w:rFonts w:ascii="Times New Roman" w:hAnsi="Times New Roman" w:cs="Times New Roman"/>
          <w:lang w:val="it-IT"/>
        </w:rPr>
        <w:t xml:space="preserve">Abstract </w:t>
      </w:r>
      <w:r w:rsidR="005B4052" w:rsidRPr="00EB063F">
        <w:rPr>
          <w:rFonts w:ascii="Times New Roman" w:hAnsi="Times New Roman" w:cs="Times New Roman"/>
          <w:lang w:val="it-IT"/>
        </w:rPr>
        <w:t>#</w:t>
      </w:r>
      <w:r w:rsidR="00095D68" w:rsidRPr="00EB063F">
        <w:rPr>
          <w:rFonts w:ascii="Times New Roman" w:hAnsi="Times New Roman" w:cs="Times New Roman"/>
          <w:lang w:val="it-IT"/>
        </w:rPr>
        <w:t>711P).</w:t>
      </w:r>
    </w:p>
    <w:p w14:paraId="40AADFAB" w14:textId="04BC1C57" w:rsidR="008B4A3E" w:rsidRPr="00EB063F" w:rsidRDefault="00FE1266" w:rsidP="00B3416D">
      <w:pPr>
        <w:spacing w:line="360" w:lineRule="auto"/>
        <w:ind w:firstLine="720"/>
        <w:jc w:val="both"/>
        <w:rPr>
          <w:rFonts w:ascii="Times New Roman" w:hAnsi="Times New Roman" w:cs="Times New Roman"/>
          <w:lang w:val="it-IT"/>
        </w:rPr>
      </w:pPr>
      <w:r w:rsidRPr="00EB063F">
        <w:rPr>
          <w:rFonts w:ascii="Times New Roman" w:hAnsi="Times New Roman" w:cs="Times New Roman"/>
          <w:lang w:val="it-IT"/>
        </w:rPr>
        <w:t>“</w:t>
      </w:r>
      <w:r w:rsidR="00A41E6F" w:rsidRPr="00EB063F">
        <w:rPr>
          <w:rFonts w:ascii="Times New Roman" w:hAnsi="Times New Roman" w:cs="Times New Roman"/>
          <w:lang w:val="it-IT"/>
        </w:rPr>
        <w:t xml:space="preserve">Abbiamo analizzato </w:t>
      </w:r>
      <w:proofErr w:type="spellStart"/>
      <w:r w:rsidR="00A41E6F" w:rsidRPr="00EB063F">
        <w:rPr>
          <w:rFonts w:ascii="Times New Roman" w:hAnsi="Times New Roman" w:cs="Times New Roman"/>
          <w:lang w:val="it-IT"/>
        </w:rPr>
        <w:t>nivolumab</w:t>
      </w:r>
      <w:proofErr w:type="spellEnd"/>
      <w:r w:rsidR="00A41E6F" w:rsidRPr="00EB063F">
        <w:rPr>
          <w:rFonts w:ascii="Times New Roman" w:hAnsi="Times New Roman" w:cs="Times New Roman"/>
          <w:lang w:val="it-IT"/>
        </w:rPr>
        <w:t xml:space="preserve"> </w:t>
      </w:r>
      <w:r w:rsidR="009716A0">
        <w:rPr>
          <w:rFonts w:ascii="Times New Roman" w:hAnsi="Times New Roman" w:cs="Times New Roman"/>
          <w:lang w:val="it-IT"/>
        </w:rPr>
        <w:t>più</w:t>
      </w:r>
      <w:r w:rsidR="009716A0" w:rsidRPr="00EB063F">
        <w:rPr>
          <w:rFonts w:ascii="Times New Roman" w:hAnsi="Times New Roman" w:cs="Times New Roman"/>
          <w:lang w:val="it-IT"/>
        </w:rPr>
        <w:t xml:space="preserve"> </w:t>
      </w:r>
      <w:proofErr w:type="spellStart"/>
      <w:r w:rsidR="00A41E6F" w:rsidRPr="00EB063F">
        <w:rPr>
          <w:rFonts w:ascii="Times New Roman" w:hAnsi="Times New Roman" w:cs="Times New Roman"/>
          <w:lang w:val="it-IT"/>
        </w:rPr>
        <w:t>ipilimumab</w:t>
      </w:r>
      <w:proofErr w:type="spellEnd"/>
      <w:r w:rsidR="00A41E6F" w:rsidRPr="00EB063F">
        <w:rPr>
          <w:rFonts w:ascii="Times New Roman" w:hAnsi="Times New Roman" w:cs="Times New Roman"/>
          <w:lang w:val="it-IT"/>
        </w:rPr>
        <w:t xml:space="preserve"> </w:t>
      </w:r>
      <w:r w:rsidR="006C1F76" w:rsidRPr="00EB063F">
        <w:rPr>
          <w:rFonts w:ascii="Times New Roman" w:hAnsi="Times New Roman" w:cs="Times New Roman"/>
          <w:lang w:val="it-IT"/>
        </w:rPr>
        <w:t xml:space="preserve">in </w:t>
      </w:r>
      <w:r w:rsidR="00A41E6F" w:rsidRPr="00EB063F">
        <w:rPr>
          <w:rFonts w:ascii="Times New Roman" w:hAnsi="Times New Roman" w:cs="Times New Roman"/>
          <w:lang w:val="it-IT"/>
        </w:rPr>
        <w:t xml:space="preserve">studi di Fase 3 pluriennali nel carcinoma a cellule renali, </w:t>
      </w:r>
      <w:r w:rsidR="009716A0">
        <w:rPr>
          <w:rFonts w:ascii="Times New Roman" w:hAnsi="Times New Roman" w:cs="Times New Roman"/>
          <w:lang w:val="it-IT"/>
        </w:rPr>
        <w:t xml:space="preserve">nel melanoma, </w:t>
      </w:r>
      <w:r w:rsidR="00A41E6F" w:rsidRPr="00EB063F">
        <w:rPr>
          <w:rFonts w:ascii="Times New Roman" w:hAnsi="Times New Roman" w:cs="Times New Roman"/>
          <w:lang w:val="it-IT"/>
        </w:rPr>
        <w:t>nel tumore del polmone non a piccole cellule e nel mesotelioma, e in tutti abbiamo osservato il miglioramento della sopravvivenza rispetto agli standard di cura esistenti</w:t>
      </w:r>
      <w:r w:rsidR="006C1F76" w:rsidRPr="00EB063F">
        <w:rPr>
          <w:rFonts w:ascii="Times New Roman" w:hAnsi="Times New Roman" w:cs="Times New Roman"/>
          <w:lang w:val="it-IT"/>
        </w:rPr>
        <w:t xml:space="preserve">,” </w:t>
      </w:r>
      <w:r w:rsidR="00557A9D" w:rsidRPr="00EB063F">
        <w:rPr>
          <w:rFonts w:ascii="Times New Roman" w:hAnsi="Times New Roman" w:cs="Times New Roman"/>
          <w:lang w:val="it-IT"/>
        </w:rPr>
        <w:t>ha affermato</w:t>
      </w:r>
      <w:r w:rsidR="008B4A3E" w:rsidRPr="00EB063F">
        <w:rPr>
          <w:rFonts w:ascii="Times New Roman" w:hAnsi="Times New Roman" w:cs="Times New Roman"/>
          <w:lang w:val="it-IT"/>
        </w:rPr>
        <w:t xml:space="preserve"> </w:t>
      </w:r>
      <w:r w:rsidR="00414003" w:rsidRPr="00EB063F">
        <w:rPr>
          <w:rFonts w:ascii="Times New Roman" w:hAnsi="Times New Roman" w:cs="Times New Roman"/>
          <w:lang w:val="it-IT"/>
        </w:rPr>
        <w:t xml:space="preserve">Nick Botwood, </w:t>
      </w:r>
      <w:r w:rsidR="00DF08D0" w:rsidRPr="00EB063F">
        <w:rPr>
          <w:rFonts w:ascii="Times New Roman" w:hAnsi="Times New Roman" w:cs="Times New Roman"/>
          <w:lang w:val="it-IT"/>
        </w:rPr>
        <w:t xml:space="preserve">M.D., </w:t>
      </w:r>
      <w:r w:rsidR="00414003" w:rsidRPr="00EB063F">
        <w:rPr>
          <w:rFonts w:ascii="Times New Roman" w:hAnsi="Times New Roman" w:cs="Times New Roman"/>
          <w:lang w:val="it-IT"/>
        </w:rPr>
        <w:t>vice president, interim head</w:t>
      </w:r>
      <w:r w:rsidR="00FF247E" w:rsidRPr="00EB063F">
        <w:rPr>
          <w:rFonts w:ascii="Times New Roman" w:hAnsi="Times New Roman" w:cs="Times New Roman"/>
          <w:lang w:val="it-IT"/>
        </w:rPr>
        <w:t>,</w:t>
      </w:r>
      <w:r w:rsidR="00414003" w:rsidRPr="00EB063F">
        <w:rPr>
          <w:rFonts w:ascii="Times New Roman" w:hAnsi="Times New Roman" w:cs="Times New Roman"/>
          <w:lang w:val="it-IT"/>
        </w:rPr>
        <w:t xml:space="preserve"> Oncology Development</w:t>
      </w:r>
      <w:r w:rsidR="008B4A3E" w:rsidRPr="00EB063F">
        <w:rPr>
          <w:rFonts w:ascii="Times New Roman" w:hAnsi="Times New Roman" w:cs="Times New Roman"/>
          <w:lang w:val="it-IT"/>
        </w:rPr>
        <w:t>, Bristol</w:t>
      </w:r>
      <w:r w:rsidR="001C4E0A" w:rsidRPr="00EB063F">
        <w:rPr>
          <w:rFonts w:ascii="Times New Roman" w:hAnsi="Times New Roman" w:cs="Times New Roman"/>
          <w:lang w:val="it-IT"/>
        </w:rPr>
        <w:t xml:space="preserve"> </w:t>
      </w:r>
      <w:r w:rsidR="008B4A3E" w:rsidRPr="00EB063F">
        <w:rPr>
          <w:rFonts w:ascii="Times New Roman" w:hAnsi="Times New Roman" w:cs="Times New Roman"/>
          <w:lang w:val="it-IT"/>
        </w:rPr>
        <w:t xml:space="preserve">Myers </w:t>
      </w:r>
      <w:r w:rsidR="008B4A3E" w:rsidRPr="00EB063F">
        <w:rPr>
          <w:rFonts w:ascii="Times New Roman" w:hAnsi="Times New Roman" w:cs="Times New Roman"/>
          <w:lang w:val="it-IT"/>
        </w:rPr>
        <w:lastRenderedPageBreak/>
        <w:t>Squibb. “</w:t>
      </w:r>
      <w:r w:rsidR="00A41E6F" w:rsidRPr="00EB063F">
        <w:rPr>
          <w:rFonts w:ascii="Times New Roman" w:hAnsi="Times New Roman" w:cs="Times New Roman"/>
          <w:lang w:val="it-IT"/>
        </w:rPr>
        <w:t xml:space="preserve">I risultati a quattro anni dello studio </w:t>
      </w:r>
      <w:r w:rsidR="0050622E" w:rsidRPr="00EB063F">
        <w:rPr>
          <w:rFonts w:ascii="Times New Roman" w:hAnsi="Times New Roman" w:cs="Times New Roman"/>
          <w:lang w:val="it-IT"/>
        </w:rPr>
        <w:t xml:space="preserve">CheckMate -214 </w:t>
      </w:r>
      <w:r w:rsidR="00A41E6F" w:rsidRPr="00EB063F">
        <w:rPr>
          <w:rFonts w:ascii="Times New Roman" w:hAnsi="Times New Roman" w:cs="Times New Roman"/>
          <w:lang w:val="it-IT"/>
        </w:rPr>
        <w:t>s</w:t>
      </w:r>
      <w:r w:rsidR="00A96972" w:rsidRPr="00EB063F">
        <w:rPr>
          <w:rFonts w:ascii="Times New Roman" w:hAnsi="Times New Roman" w:cs="Times New Roman"/>
          <w:lang w:val="it-IT"/>
        </w:rPr>
        <w:t>ono costruiti</w:t>
      </w:r>
      <w:r w:rsidR="00A41E6F" w:rsidRPr="00EB063F">
        <w:rPr>
          <w:rFonts w:ascii="Times New Roman" w:hAnsi="Times New Roman" w:cs="Times New Roman"/>
          <w:lang w:val="it-IT"/>
        </w:rPr>
        <w:t xml:space="preserve"> sulla </w:t>
      </w:r>
      <w:r w:rsidR="00A96972" w:rsidRPr="00EB063F">
        <w:rPr>
          <w:rFonts w:ascii="Times New Roman" w:hAnsi="Times New Roman" w:cs="Times New Roman"/>
          <w:lang w:val="it-IT"/>
        </w:rPr>
        <w:t xml:space="preserve">base delle </w:t>
      </w:r>
      <w:r w:rsidR="00A41E6F" w:rsidRPr="00EB063F">
        <w:rPr>
          <w:rFonts w:ascii="Times New Roman" w:hAnsi="Times New Roman" w:cs="Times New Roman"/>
          <w:lang w:val="it-IT"/>
        </w:rPr>
        <w:t>nostr</w:t>
      </w:r>
      <w:r w:rsidR="00A96972" w:rsidRPr="00EB063F">
        <w:rPr>
          <w:rFonts w:ascii="Times New Roman" w:hAnsi="Times New Roman" w:cs="Times New Roman"/>
          <w:lang w:val="it-IT"/>
        </w:rPr>
        <w:t xml:space="preserve">e </w:t>
      </w:r>
      <w:r w:rsidR="00A41E6F" w:rsidRPr="00EB063F">
        <w:rPr>
          <w:rFonts w:ascii="Times New Roman" w:hAnsi="Times New Roman" w:cs="Times New Roman"/>
          <w:lang w:val="it-IT"/>
        </w:rPr>
        <w:t>conoscenz</w:t>
      </w:r>
      <w:r w:rsidR="00A96972" w:rsidRPr="00EB063F">
        <w:rPr>
          <w:rFonts w:ascii="Times New Roman" w:hAnsi="Times New Roman" w:cs="Times New Roman"/>
          <w:lang w:val="it-IT"/>
        </w:rPr>
        <w:t>e</w:t>
      </w:r>
      <w:r w:rsidR="00A41E6F" w:rsidRPr="00EB063F">
        <w:rPr>
          <w:rFonts w:ascii="Times New Roman" w:hAnsi="Times New Roman" w:cs="Times New Roman"/>
          <w:lang w:val="it-IT"/>
        </w:rPr>
        <w:t xml:space="preserve"> e </w:t>
      </w:r>
      <w:r w:rsidR="00A96972" w:rsidRPr="00EB063F">
        <w:rPr>
          <w:rFonts w:ascii="Times New Roman" w:hAnsi="Times New Roman" w:cs="Times New Roman"/>
          <w:lang w:val="it-IT"/>
        </w:rPr>
        <w:t xml:space="preserve">della nostra </w:t>
      </w:r>
      <w:r w:rsidR="002A35BD" w:rsidRPr="00EB063F">
        <w:rPr>
          <w:rFonts w:ascii="Times New Roman" w:hAnsi="Times New Roman" w:cs="Times New Roman"/>
          <w:lang w:val="it-IT"/>
        </w:rPr>
        <w:t xml:space="preserve">leadership </w:t>
      </w:r>
      <w:r w:rsidR="00A41E6F" w:rsidRPr="00EB063F">
        <w:rPr>
          <w:rFonts w:ascii="Times New Roman" w:hAnsi="Times New Roman" w:cs="Times New Roman"/>
          <w:lang w:val="it-IT"/>
        </w:rPr>
        <w:t>nel carcinoma a cellule renali avanzato</w:t>
      </w:r>
      <w:r w:rsidR="002A35BD" w:rsidRPr="00EB063F">
        <w:rPr>
          <w:rFonts w:ascii="Times New Roman" w:hAnsi="Times New Roman" w:cs="Times New Roman"/>
          <w:lang w:val="it-IT"/>
        </w:rPr>
        <w:t xml:space="preserve">, </w:t>
      </w:r>
      <w:r w:rsidR="0097229B" w:rsidRPr="00EB063F">
        <w:rPr>
          <w:rFonts w:ascii="Times New Roman" w:hAnsi="Times New Roman" w:cs="Times New Roman"/>
          <w:lang w:val="it-IT"/>
        </w:rPr>
        <w:t>rafforzando l</w:t>
      </w:r>
      <w:r w:rsidR="00A96972" w:rsidRPr="00EB063F">
        <w:rPr>
          <w:rFonts w:ascii="Times New Roman" w:hAnsi="Times New Roman" w:cs="Times New Roman"/>
          <w:lang w:val="it-IT"/>
        </w:rPr>
        <w:t xml:space="preserve">e potenzialità </w:t>
      </w:r>
      <w:r w:rsidR="0097229B" w:rsidRPr="00EB063F">
        <w:rPr>
          <w:rFonts w:ascii="Times New Roman" w:hAnsi="Times New Roman" w:cs="Times New Roman"/>
          <w:lang w:val="it-IT"/>
        </w:rPr>
        <w:t xml:space="preserve">di benefici duraturi nella sopravvivenza a lungo termine con </w:t>
      </w:r>
      <w:proofErr w:type="spellStart"/>
      <w:r w:rsidR="0097229B" w:rsidRPr="00EB063F">
        <w:rPr>
          <w:rFonts w:ascii="Times New Roman" w:hAnsi="Times New Roman" w:cs="Times New Roman"/>
          <w:lang w:val="it-IT"/>
        </w:rPr>
        <w:t>nivolumab</w:t>
      </w:r>
      <w:proofErr w:type="spellEnd"/>
      <w:r w:rsidR="0097229B" w:rsidRPr="00EB063F">
        <w:rPr>
          <w:rFonts w:ascii="Times New Roman" w:hAnsi="Times New Roman" w:cs="Times New Roman"/>
          <w:lang w:val="it-IT"/>
        </w:rPr>
        <w:t xml:space="preserve"> </w:t>
      </w:r>
      <w:r w:rsidR="009716A0">
        <w:rPr>
          <w:rFonts w:ascii="Times New Roman" w:hAnsi="Times New Roman" w:cs="Times New Roman"/>
          <w:lang w:val="it-IT"/>
        </w:rPr>
        <w:t>più</w:t>
      </w:r>
      <w:r w:rsidR="0097229B" w:rsidRPr="00EB063F">
        <w:rPr>
          <w:rFonts w:ascii="Times New Roman" w:hAnsi="Times New Roman" w:cs="Times New Roman"/>
          <w:lang w:val="it-IT"/>
        </w:rPr>
        <w:t xml:space="preserve"> </w:t>
      </w:r>
      <w:proofErr w:type="spellStart"/>
      <w:r w:rsidR="0097229B" w:rsidRPr="00EB063F">
        <w:rPr>
          <w:rFonts w:ascii="Times New Roman" w:hAnsi="Times New Roman" w:cs="Times New Roman"/>
          <w:lang w:val="it-IT"/>
        </w:rPr>
        <w:t>ipilimumab</w:t>
      </w:r>
      <w:proofErr w:type="spellEnd"/>
      <w:r w:rsidR="0097229B" w:rsidRPr="00EB063F">
        <w:rPr>
          <w:rFonts w:ascii="Times New Roman" w:hAnsi="Times New Roman" w:cs="Times New Roman"/>
          <w:lang w:val="it-IT"/>
        </w:rPr>
        <w:t xml:space="preserve"> </w:t>
      </w:r>
      <w:r w:rsidR="002A35BD" w:rsidRPr="00EB063F">
        <w:rPr>
          <w:rFonts w:ascii="Times New Roman" w:hAnsi="Times New Roman" w:cs="Times New Roman"/>
          <w:lang w:val="it-IT"/>
        </w:rPr>
        <w:t xml:space="preserve">in </w:t>
      </w:r>
      <w:r w:rsidR="0097229B" w:rsidRPr="00EB063F">
        <w:rPr>
          <w:rFonts w:ascii="Times New Roman" w:hAnsi="Times New Roman" w:cs="Times New Roman"/>
          <w:lang w:val="it-IT"/>
        </w:rPr>
        <w:t>prima linea</w:t>
      </w:r>
      <w:r w:rsidR="00AE1D53" w:rsidRPr="00EB063F">
        <w:rPr>
          <w:rFonts w:ascii="Times New Roman" w:hAnsi="Times New Roman" w:cs="Times New Roman"/>
          <w:lang w:val="it-IT"/>
        </w:rPr>
        <w:t>.</w:t>
      </w:r>
      <w:r w:rsidR="00FC01AC" w:rsidRPr="00EB063F">
        <w:rPr>
          <w:rFonts w:ascii="Times New Roman" w:hAnsi="Times New Roman" w:cs="Times New Roman"/>
          <w:lang w:val="it-IT"/>
        </w:rPr>
        <w:t xml:space="preserve"> </w:t>
      </w:r>
      <w:r w:rsidR="0097229B" w:rsidRPr="00EB063F">
        <w:rPr>
          <w:rFonts w:ascii="Times New Roman" w:hAnsi="Times New Roman" w:cs="Times New Roman"/>
          <w:lang w:val="it-IT"/>
        </w:rPr>
        <w:t>Nel complesso questi dati forniscono una ulteriore evidenza del valore</w:t>
      </w:r>
      <w:r w:rsidR="00A96972" w:rsidRPr="00EB063F">
        <w:rPr>
          <w:rFonts w:ascii="Times New Roman" w:hAnsi="Times New Roman" w:cs="Times New Roman"/>
          <w:lang w:val="it-IT"/>
        </w:rPr>
        <w:t>,</w:t>
      </w:r>
      <w:r w:rsidR="0097229B" w:rsidRPr="00EB063F">
        <w:rPr>
          <w:rFonts w:ascii="Times New Roman" w:hAnsi="Times New Roman" w:cs="Times New Roman"/>
          <w:lang w:val="it-IT"/>
        </w:rPr>
        <w:t xml:space="preserve"> distinto ma complementare</w:t>
      </w:r>
      <w:r w:rsidR="00A96972" w:rsidRPr="00EB063F">
        <w:rPr>
          <w:rFonts w:ascii="Times New Roman" w:hAnsi="Times New Roman" w:cs="Times New Roman"/>
          <w:lang w:val="it-IT"/>
        </w:rPr>
        <w:t>,</w:t>
      </w:r>
      <w:r w:rsidR="0097229B" w:rsidRPr="00EB063F">
        <w:rPr>
          <w:rFonts w:ascii="Times New Roman" w:hAnsi="Times New Roman" w:cs="Times New Roman"/>
          <w:lang w:val="it-IT"/>
        </w:rPr>
        <w:t xml:space="preserve"> della doppia inibizione di checkpoint nel trattamento dei tumori in stadio avanzato</w:t>
      </w:r>
      <w:r w:rsidR="00FC01AC" w:rsidRPr="00EB063F">
        <w:rPr>
          <w:rFonts w:ascii="Times New Roman" w:hAnsi="Times New Roman" w:cs="Times New Roman"/>
          <w:lang w:val="it-IT"/>
        </w:rPr>
        <w:t>.”</w:t>
      </w:r>
    </w:p>
    <w:p w14:paraId="502A16CA" w14:textId="27071B9C" w:rsidR="005301B0" w:rsidRPr="00EB063F" w:rsidRDefault="005301B0" w:rsidP="00B3416D">
      <w:pPr>
        <w:spacing w:line="360" w:lineRule="auto"/>
        <w:ind w:firstLine="720"/>
        <w:jc w:val="both"/>
        <w:rPr>
          <w:rFonts w:ascii="Times New Roman" w:hAnsi="Times New Roman" w:cs="Times New Roman"/>
          <w:color w:val="000000" w:themeColor="text1"/>
          <w:lang w:val="it-IT"/>
        </w:rPr>
      </w:pPr>
      <w:r w:rsidRPr="00EB063F">
        <w:rPr>
          <w:rFonts w:ascii="Times New Roman" w:hAnsi="Times New Roman" w:cs="Times New Roman"/>
          <w:color w:val="000000" w:themeColor="text1"/>
          <w:lang w:val="it-IT"/>
        </w:rPr>
        <w:t xml:space="preserve">Bristol Myers Squibb </w:t>
      </w:r>
      <w:r w:rsidR="0097229B" w:rsidRPr="00EB063F">
        <w:rPr>
          <w:rFonts w:ascii="Times New Roman" w:hAnsi="Times New Roman" w:cs="Times New Roman"/>
          <w:color w:val="000000" w:themeColor="text1"/>
          <w:lang w:val="it-IT"/>
        </w:rPr>
        <w:t xml:space="preserve">ringrazia </w:t>
      </w:r>
      <w:r w:rsidR="00A96972" w:rsidRPr="00EB063F">
        <w:rPr>
          <w:rFonts w:ascii="Times New Roman" w:hAnsi="Times New Roman" w:cs="Times New Roman"/>
          <w:color w:val="000000" w:themeColor="text1"/>
          <w:lang w:val="it-IT"/>
        </w:rPr>
        <w:t>i</w:t>
      </w:r>
      <w:r w:rsidR="0097229B" w:rsidRPr="00EB063F">
        <w:rPr>
          <w:rFonts w:ascii="Times New Roman" w:hAnsi="Times New Roman" w:cs="Times New Roman"/>
          <w:color w:val="000000" w:themeColor="text1"/>
          <w:lang w:val="it-IT"/>
        </w:rPr>
        <w:t xml:space="preserve"> pazienti e gli investigatori coinvolti nello studio clinico</w:t>
      </w:r>
      <w:r w:rsidRPr="00EB063F">
        <w:rPr>
          <w:rFonts w:ascii="Times New Roman" w:hAnsi="Times New Roman" w:cs="Times New Roman"/>
          <w:color w:val="000000" w:themeColor="text1"/>
          <w:lang w:val="it-IT"/>
        </w:rPr>
        <w:t xml:space="preserve"> CheckMate -214.</w:t>
      </w:r>
    </w:p>
    <w:p w14:paraId="0C724C59" w14:textId="77777777" w:rsidR="00F33508" w:rsidRPr="00EB063F" w:rsidRDefault="00F33508" w:rsidP="00B3416D">
      <w:pPr>
        <w:spacing w:line="360" w:lineRule="auto"/>
        <w:ind w:right="115"/>
        <w:jc w:val="both"/>
        <w:rPr>
          <w:rFonts w:ascii="Times New Roman" w:hAnsi="Times New Roman" w:cs="Times New Roman"/>
          <w:u w:val="single"/>
          <w:lang w:val="it-IT"/>
        </w:rPr>
      </w:pPr>
    </w:p>
    <w:p w14:paraId="1160FA10" w14:textId="56BAFF2B" w:rsidR="00587BA0" w:rsidRPr="00EB063F" w:rsidRDefault="009032B5" w:rsidP="00B3416D">
      <w:pPr>
        <w:spacing w:line="360" w:lineRule="auto"/>
        <w:ind w:right="115"/>
        <w:jc w:val="both"/>
        <w:rPr>
          <w:rFonts w:ascii="Times New Roman" w:hAnsi="Times New Roman" w:cs="Times New Roman"/>
          <w:bCs/>
          <w:lang w:val="it-IT"/>
        </w:rPr>
      </w:pPr>
      <w:r w:rsidRPr="00EB063F">
        <w:rPr>
          <w:rFonts w:ascii="Times New Roman" w:hAnsi="Times New Roman" w:cs="Times New Roman"/>
          <w:b/>
          <w:bCs/>
          <w:u w:val="single"/>
          <w:lang w:val="it-IT"/>
        </w:rPr>
        <w:t xml:space="preserve">Lo studio clinico </w:t>
      </w:r>
      <w:r w:rsidR="00587BA0" w:rsidRPr="00EB063F">
        <w:rPr>
          <w:rFonts w:ascii="Times New Roman" w:hAnsi="Times New Roman" w:cs="Times New Roman"/>
          <w:b/>
          <w:bCs/>
          <w:u w:val="single"/>
          <w:lang w:val="it-IT"/>
        </w:rPr>
        <w:t>CheckMate -214</w:t>
      </w:r>
    </w:p>
    <w:p w14:paraId="5065F4F4" w14:textId="1F027367" w:rsidR="00587BA0" w:rsidRPr="00EB063F" w:rsidRDefault="00587BA0" w:rsidP="00B3416D">
      <w:pPr>
        <w:spacing w:line="360" w:lineRule="auto"/>
        <w:ind w:right="115" w:firstLine="720"/>
        <w:jc w:val="both"/>
        <w:rPr>
          <w:rFonts w:ascii="Times New Roman" w:hAnsi="Times New Roman" w:cs="Times New Roman"/>
          <w:bCs/>
          <w:lang w:val="it-IT"/>
        </w:rPr>
      </w:pPr>
      <w:r w:rsidRPr="00EB063F">
        <w:rPr>
          <w:rFonts w:ascii="Times New Roman" w:hAnsi="Times New Roman" w:cs="Times New Roman"/>
          <w:bCs/>
          <w:lang w:val="it-IT"/>
        </w:rPr>
        <w:t xml:space="preserve">CheckMate -214 </w:t>
      </w:r>
      <w:r w:rsidR="009032B5" w:rsidRPr="00EB063F">
        <w:rPr>
          <w:rFonts w:ascii="Times New Roman" w:hAnsi="Times New Roman" w:cs="Times New Roman"/>
          <w:bCs/>
          <w:lang w:val="it-IT"/>
        </w:rPr>
        <w:t>è uno</w:t>
      </w:r>
      <w:r w:rsidR="00EB3D8C" w:rsidRPr="00EB063F">
        <w:rPr>
          <w:rFonts w:ascii="Times New Roman" w:hAnsi="Times New Roman" w:cs="Times New Roman"/>
          <w:bCs/>
          <w:lang w:val="it-IT"/>
        </w:rPr>
        <w:t xml:space="preserve"> </w:t>
      </w:r>
      <w:r w:rsidR="009032B5" w:rsidRPr="00EB063F">
        <w:rPr>
          <w:rFonts w:ascii="Times New Roman" w:hAnsi="Times New Roman" w:cs="Times New Roman"/>
          <w:bCs/>
          <w:lang w:val="it-IT"/>
        </w:rPr>
        <w:t xml:space="preserve">studio di Fase </w:t>
      </w:r>
      <w:r w:rsidRPr="00EB063F">
        <w:rPr>
          <w:rFonts w:ascii="Times New Roman" w:hAnsi="Times New Roman" w:cs="Times New Roman"/>
          <w:bCs/>
          <w:lang w:val="it-IT"/>
        </w:rPr>
        <w:t>3, randomiz</w:t>
      </w:r>
      <w:r w:rsidR="009032B5" w:rsidRPr="00EB063F">
        <w:rPr>
          <w:rFonts w:ascii="Times New Roman" w:hAnsi="Times New Roman" w:cs="Times New Roman"/>
          <w:bCs/>
          <w:lang w:val="it-IT"/>
        </w:rPr>
        <w:t xml:space="preserve">zato, in aperto, </w:t>
      </w:r>
      <w:r w:rsidR="00EB3D8C" w:rsidRPr="00EB063F">
        <w:rPr>
          <w:rFonts w:ascii="Times New Roman" w:hAnsi="Times New Roman" w:cs="Times New Roman"/>
          <w:bCs/>
          <w:lang w:val="it-IT"/>
        </w:rPr>
        <w:t xml:space="preserve">per la valutazione della combinazione </w:t>
      </w:r>
      <w:proofErr w:type="spellStart"/>
      <w:r w:rsidR="00EB3D8C" w:rsidRPr="00EB063F">
        <w:rPr>
          <w:rFonts w:ascii="Times New Roman" w:hAnsi="Times New Roman" w:cs="Times New Roman"/>
          <w:bCs/>
          <w:lang w:val="it-IT"/>
        </w:rPr>
        <w:t>nivolumab</w:t>
      </w:r>
      <w:proofErr w:type="spellEnd"/>
      <w:r w:rsidR="00EB3D8C" w:rsidRPr="00EB063F">
        <w:rPr>
          <w:rFonts w:ascii="Times New Roman" w:hAnsi="Times New Roman" w:cs="Times New Roman"/>
          <w:bCs/>
          <w:lang w:val="it-IT"/>
        </w:rPr>
        <w:t xml:space="preserve"> </w:t>
      </w:r>
      <w:r w:rsidR="00F313ED">
        <w:rPr>
          <w:rFonts w:ascii="Times New Roman" w:hAnsi="Times New Roman" w:cs="Times New Roman"/>
          <w:lang w:val="it-IT"/>
        </w:rPr>
        <w:t>più</w:t>
      </w:r>
      <w:r w:rsidR="00EB3D8C" w:rsidRPr="00EB063F">
        <w:rPr>
          <w:rFonts w:ascii="Times New Roman" w:hAnsi="Times New Roman" w:cs="Times New Roman"/>
          <w:bCs/>
          <w:lang w:val="it-IT"/>
        </w:rPr>
        <w:t xml:space="preserve"> </w:t>
      </w:r>
      <w:proofErr w:type="spellStart"/>
      <w:r w:rsidR="00EB3D8C" w:rsidRPr="00EB063F">
        <w:rPr>
          <w:rFonts w:ascii="Times New Roman" w:hAnsi="Times New Roman" w:cs="Times New Roman"/>
          <w:bCs/>
          <w:lang w:val="it-IT"/>
        </w:rPr>
        <w:t>ipilimumab</w:t>
      </w:r>
      <w:proofErr w:type="spellEnd"/>
      <w:r w:rsidR="00EB3D8C" w:rsidRPr="00EB063F">
        <w:rPr>
          <w:rFonts w:ascii="Times New Roman" w:hAnsi="Times New Roman" w:cs="Times New Roman"/>
          <w:bCs/>
          <w:i/>
          <w:iCs/>
          <w:lang w:val="it-IT"/>
        </w:rPr>
        <w:t xml:space="preserve"> </w:t>
      </w:r>
      <w:r w:rsidRPr="00EB063F">
        <w:rPr>
          <w:rFonts w:ascii="Times New Roman" w:hAnsi="Times New Roman" w:cs="Times New Roman"/>
          <w:bCs/>
          <w:lang w:val="it-IT"/>
        </w:rPr>
        <w:t xml:space="preserve">versus </w:t>
      </w:r>
      <w:proofErr w:type="spellStart"/>
      <w:r w:rsidRPr="00EB063F">
        <w:rPr>
          <w:rFonts w:ascii="Times New Roman" w:hAnsi="Times New Roman" w:cs="Times New Roman"/>
          <w:bCs/>
          <w:lang w:val="it-IT"/>
        </w:rPr>
        <w:t>sunitinib</w:t>
      </w:r>
      <w:proofErr w:type="spellEnd"/>
      <w:r w:rsidRPr="00EB063F">
        <w:rPr>
          <w:rFonts w:ascii="Times New Roman" w:hAnsi="Times New Roman" w:cs="Times New Roman"/>
          <w:bCs/>
          <w:lang w:val="it-IT"/>
        </w:rPr>
        <w:t xml:space="preserve"> </w:t>
      </w:r>
      <w:r w:rsidR="00EB3D8C" w:rsidRPr="00EB063F">
        <w:rPr>
          <w:rFonts w:ascii="Times New Roman" w:hAnsi="Times New Roman" w:cs="Times New Roman"/>
          <w:bCs/>
          <w:lang w:val="it-IT"/>
        </w:rPr>
        <w:t>nei pazienti con carcinoma a cellule renali (RCC) avanzato non trattato precedentemente o metastatico</w:t>
      </w:r>
      <w:r w:rsidRPr="00EB063F">
        <w:rPr>
          <w:rFonts w:ascii="Times New Roman" w:hAnsi="Times New Roman" w:cs="Times New Roman"/>
          <w:bCs/>
          <w:lang w:val="it-IT"/>
        </w:rPr>
        <w:t xml:space="preserve">. </w:t>
      </w:r>
      <w:r w:rsidR="00EB3D8C" w:rsidRPr="00EB063F">
        <w:rPr>
          <w:rFonts w:ascii="Times New Roman" w:hAnsi="Times New Roman" w:cs="Times New Roman"/>
          <w:bCs/>
          <w:lang w:val="it-IT"/>
        </w:rPr>
        <w:t xml:space="preserve">I pazienti nel gruppo della combinazione </w:t>
      </w:r>
      <w:r w:rsidR="00691B78" w:rsidRPr="00EB063F">
        <w:rPr>
          <w:rFonts w:ascii="Times New Roman" w:hAnsi="Times New Roman" w:cs="Times New Roman"/>
          <w:bCs/>
          <w:lang w:val="it-IT"/>
        </w:rPr>
        <w:t xml:space="preserve">(n=550) </w:t>
      </w:r>
      <w:r w:rsidR="00EB3D8C" w:rsidRPr="00EB063F">
        <w:rPr>
          <w:rFonts w:ascii="Times New Roman" w:hAnsi="Times New Roman" w:cs="Times New Roman"/>
          <w:bCs/>
          <w:lang w:val="it-IT"/>
        </w:rPr>
        <w:t xml:space="preserve">hanno ricevuto </w:t>
      </w:r>
      <w:r w:rsidRPr="00EB063F">
        <w:rPr>
          <w:rFonts w:ascii="Times New Roman" w:hAnsi="Times New Roman" w:cs="Times New Roman"/>
          <w:bCs/>
          <w:lang w:val="it-IT"/>
        </w:rPr>
        <w:t xml:space="preserve">3 mg/kg </w:t>
      </w:r>
      <w:r w:rsidR="00EB3D8C" w:rsidRPr="00EB063F">
        <w:rPr>
          <w:rFonts w:ascii="Times New Roman" w:hAnsi="Times New Roman" w:cs="Times New Roman"/>
          <w:bCs/>
          <w:lang w:val="it-IT"/>
        </w:rPr>
        <w:t xml:space="preserve">di nivolumab più </w:t>
      </w:r>
      <w:r w:rsidRPr="00EB063F">
        <w:rPr>
          <w:rFonts w:ascii="Times New Roman" w:hAnsi="Times New Roman" w:cs="Times New Roman"/>
          <w:bCs/>
          <w:lang w:val="it-IT"/>
        </w:rPr>
        <w:t xml:space="preserve">1 mg/kg </w:t>
      </w:r>
      <w:r w:rsidR="00EB3D8C" w:rsidRPr="00EB063F">
        <w:rPr>
          <w:rFonts w:ascii="Times New Roman" w:hAnsi="Times New Roman" w:cs="Times New Roman"/>
          <w:bCs/>
          <w:lang w:val="it-IT"/>
        </w:rPr>
        <w:t>di ipilimumab ogni tre settimane per quattro dosi</w:t>
      </w:r>
      <w:r w:rsidR="00A96972" w:rsidRPr="00EB063F">
        <w:rPr>
          <w:rFonts w:ascii="Times New Roman" w:hAnsi="Times New Roman" w:cs="Times New Roman"/>
          <w:bCs/>
          <w:lang w:val="it-IT"/>
        </w:rPr>
        <w:t>,</w:t>
      </w:r>
      <w:r w:rsidR="00EB3D8C" w:rsidRPr="00EB063F">
        <w:rPr>
          <w:rFonts w:ascii="Times New Roman" w:hAnsi="Times New Roman" w:cs="Times New Roman"/>
          <w:bCs/>
          <w:lang w:val="it-IT"/>
        </w:rPr>
        <w:t xml:space="preserve"> seguite da </w:t>
      </w:r>
      <w:r w:rsidRPr="00EB063F">
        <w:rPr>
          <w:rFonts w:ascii="Times New Roman" w:hAnsi="Times New Roman" w:cs="Times New Roman"/>
          <w:bCs/>
          <w:lang w:val="it-IT"/>
        </w:rPr>
        <w:t xml:space="preserve">3 mg/kg </w:t>
      </w:r>
      <w:r w:rsidR="00EB3D8C" w:rsidRPr="00EB063F">
        <w:rPr>
          <w:rFonts w:ascii="Times New Roman" w:hAnsi="Times New Roman" w:cs="Times New Roman"/>
          <w:bCs/>
          <w:lang w:val="it-IT"/>
        </w:rPr>
        <w:t>di nivolumab ogni due settimane</w:t>
      </w:r>
      <w:r w:rsidRPr="00EB063F">
        <w:rPr>
          <w:rFonts w:ascii="Times New Roman" w:hAnsi="Times New Roman" w:cs="Times New Roman"/>
          <w:bCs/>
          <w:lang w:val="it-IT"/>
        </w:rPr>
        <w:t xml:space="preserve">. </w:t>
      </w:r>
      <w:r w:rsidR="00EB3D8C" w:rsidRPr="00EB063F">
        <w:rPr>
          <w:rFonts w:ascii="Times New Roman" w:hAnsi="Times New Roman" w:cs="Times New Roman"/>
          <w:bCs/>
          <w:lang w:val="it-IT"/>
        </w:rPr>
        <w:t xml:space="preserve">I pazienti nel gruppo di </w:t>
      </w:r>
      <w:r w:rsidR="00A96972" w:rsidRPr="00EB063F">
        <w:rPr>
          <w:rFonts w:ascii="Times New Roman" w:hAnsi="Times New Roman" w:cs="Times New Roman"/>
          <w:bCs/>
          <w:lang w:val="it-IT"/>
        </w:rPr>
        <w:t>confronto</w:t>
      </w:r>
      <w:r w:rsidR="00EB3D8C" w:rsidRPr="00EB063F">
        <w:rPr>
          <w:rFonts w:ascii="Times New Roman" w:hAnsi="Times New Roman" w:cs="Times New Roman"/>
          <w:bCs/>
          <w:lang w:val="it-IT"/>
        </w:rPr>
        <w:t xml:space="preserve"> </w:t>
      </w:r>
      <w:r w:rsidR="00691B78" w:rsidRPr="00EB063F">
        <w:rPr>
          <w:rFonts w:ascii="Times New Roman" w:hAnsi="Times New Roman" w:cs="Times New Roman"/>
          <w:bCs/>
          <w:lang w:val="it-IT"/>
        </w:rPr>
        <w:t>(n=546</w:t>
      </w:r>
      <w:r w:rsidR="00FF33E8" w:rsidRPr="00EB063F">
        <w:rPr>
          <w:rFonts w:ascii="Times New Roman" w:hAnsi="Times New Roman" w:cs="Times New Roman"/>
          <w:bCs/>
          <w:lang w:val="it-IT"/>
        </w:rPr>
        <w:t>)</w:t>
      </w:r>
      <w:r w:rsidRPr="00EB063F">
        <w:rPr>
          <w:rFonts w:ascii="Times New Roman" w:hAnsi="Times New Roman" w:cs="Times New Roman"/>
          <w:bCs/>
          <w:lang w:val="it-IT"/>
        </w:rPr>
        <w:t xml:space="preserve"> </w:t>
      </w:r>
      <w:r w:rsidR="00EB3D8C" w:rsidRPr="00EB063F">
        <w:rPr>
          <w:rFonts w:ascii="Times New Roman" w:hAnsi="Times New Roman" w:cs="Times New Roman"/>
          <w:bCs/>
          <w:lang w:val="it-IT"/>
        </w:rPr>
        <w:t xml:space="preserve">hanno ricevuto </w:t>
      </w:r>
      <w:r w:rsidRPr="00EB063F">
        <w:rPr>
          <w:rFonts w:ascii="Times New Roman" w:hAnsi="Times New Roman" w:cs="Times New Roman"/>
          <w:bCs/>
          <w:lang w:val="it-IT"/>
        </w:rPr>
        <w:t xml:space="preserve">50 mg </w:t>
      </w:r>
      <w:r w:rsidR="00EB3D8C" w:rsidRPr="00EB063F">
        <w:rPr>
          <w:rFonts w:ascii="Times New Roman" w:hAnsi="Times New Roman" w:cs="Times New Roman"/>
          <w:bCs/>
          <w:lang w:val="it-IT"/>
        </w:rPr>
        <w:t>di sunitinib una volta al giorno per quattro settimane</w:t>
      </w:r>
      <w:r w:rsidRPr="00EB063F">
        <w:rPr>
          <w:rFonts w:ascii="Times New Roman" w:hAnsi="Times New Roman" w:cs="Times New Roman"/>
          <w:bCs/>
          <w:lang w:val="it-IT"/>
        </w:rPr>
        <w:t xml:space="preserve">, </w:t>
      </w:r>
      <w:r w:rsidR="00EB3D8C" w:rsidRPr="00EB063F">
        <w:rPr>
          <w:rFonts w:ascii="Times New Roman" w:hAnsi="Times New Roman" w:cs="Times New Roman"/>
          <w:bCs/>
          <w:lang w:val="it-IT"/>
        </w:rPr>
        <w:t>seguito da due settimane di interruzione</w:t>
      </w:r>
      <w:r w:rsidR="00A96972" w:rsidRPr="00EB063F">
        <w:rPr>
          <w:rFonts w:ascii="Times New Roman" w:hAnsi="Times New Roman" w:cs="Times New Roman"/>
          <w:bCs/>
          <w:lang w:val="it-IT"/>
        </w:rPr>
        <w:t>,</w:t>
      </w:r>
      <w:r w:rsidR="00EB3D8C" w:rsidRPr="00EB063F">
        <w:rPr>
          <w:rFonts w:ascii="Times New Roman" w:hAnsi="Times New Roman" w:cs="Times New Roman"/>
          <w:bCs/>
          <w:lang w:val="it-IT"/>
        </w:rPr>
        <w:t xml:space="preserve"> </w:t>
      </w:r>
      <w:r w:rsidR="004D047D" w:rsidRPr="00EB063F">
        <w:rPr>
          <w:rFonts w:ascii="Times New Roman" w:hAnsi="Times New Roman" w:cs="Times New Roman"/>
          <w:bCs/>
          <w:lang w:val="it-IT"/>
        </w:rPr>
        <w:t>prima del proseguimento della terapia</w:t>
      </w:r>
      <w:r w:rsidRPr="00EB063F">
        <w:rPr>
          <w:rFonts w:ascii="Times New Roman" w:hAnsi="Times New Roman" w:cs="Times New Roman"/>
          <w:bCs/>
          <w:lang w:val="it-IT"/>
        </w:rPr>
        <w:t xml:space="preserve">. </w:t>
      </w:r>
      <w:r w:rsidR="004D047D" w:rsidRPr="00EB063F">
        <w:rPr>
          <w:rFonts w:ascii="Times New Roman" w:hAnsi="Times New Roman" w:cs="Times New Roman"/>
          <w:bCs/>
          <w:lang w:val="it-IT"/>
        </w:rPr>
        <w:t>I pazienti sono stati trattati fino alla progression</w:t>
      </w:r>
      <w:r w:rsidR="00A96972" w:rsidRPr="00EB063F">
        <w:rPr>
          <w:rFonts w:ascii="Times New Roman" w:hAnsi="Times New Roman" w:cs="Times New Roman"/>
          <w:bCs/>
          <w:lang w:val="it-IT"/>
        </w:rPr>
        <w:t>e</w:t>
      </w:r>
      <w:r w:rsidR="004D047D" w:rsidRPr="00EB063F">
        <w:rPr>
          <w:rFonts w:ascii="Times New Roman" w:hAnsi="Times New Roman" w:cs="Times New Roman"/>
          <w:bCs/>
          <w:lang w:val="it-IT"/>
        </w:rPr>
        <w:t xml:space="preserve"> o allo sviluppo di effetti tossici inaccettabili</w:t>
      </w:r>
      <w:r w:rsidRPr="00EB063F">
        <w:rPr>
          <w:rFonts w:ascii="Times New Roman" w:hAnsi="Times New Roman" w:cs="Times New Roman"/>
          <w:bCs/>
          <w:lang w:val="it-IT"/>
        </w:rPr>
        <w:t xml:space="preserve">. </w:t>
      </w:r>
      <w:r w:rsidR="004D047D" w:rsidRPr="00EB063F">
        <w:rPr>
          <w:rFonts w:ascii="Times New Roman" w:hAnsi="Times New Roman" w:cs="Times New Roman"/>
          <w:bCs/>
          <w:lang w:val="it-IT"/>
        </w:rPr>
        <w:t xml:space="preserve">Gli endpoint primari dello studio sono la sopravvivenza globale </w:t>
      </w:r>
      <w:r w:rsidRPr="00EB063F">
        <w:rPr>
          <w:rFonts w:ascii="Times New Roman" w:hAnsi="Times New Roman" w:cs="Times New Roman"/>
          <w:bCs/>
          <w:lang w:val="it-IT"/>
        </w:rPr>
        <w:t xml:space="preserve">(OS), </w:t>
      </w:r>
      <w:r w:rsidR="004D047D" w:rsidRPr="00EB063F">
        <w:rPr>
          <w:rFonts w:ascii="Times New Roman" w:hAnsi="Times New Roman" w:cs="Times New Roman"/>
          <w:bCs/>
          <w:lang w:val="it-IT"/>
        </w:rPr>
        <w:t>la sopravvivenza libera da progressione</w:t>
      </w:r>
      <w:r w:rsidRPr="00EB063F">
        <w:rPr>
          <w:rFonts w:ascii="Times New Roman" w:hAnsi="Times New Roman" w:cs="Times New Roman"/>
          <w:bCs/>
          <w:lang w:val="it-IT"/>
        </w:rPr>
        <w:t xml:space="preserve"> (PFS), </w:t>
      </w:r>
      <w:r w:rsidR="004D047D" w:rsidRPr="00EB063F">
        <w:rPr>
          <w:rFonts w:ascii="Times New Roman" w:hAnsi="Times New Roman" w:cs="Times New Roman"/>
          <w:bCs/>
          <w:lang w:val="it-IT"/>
        </w:rPr>
        <w:t xml:space="preserve">e il tasso di risposta </w:t>
      </w:r>
      <w:r w:rsidR="0069510D">
        <w:rPr>
          <w:rFonts w:ascii="Times New Roman" w:hAnsi="Times New Roman" w:cs="Times New Roman"/>
          <w:bCs/>
          <w:lang w:val="it-IT"/>
        </w:rPr>
        <w:t>obiettiva</w:t>
      </w:r>
      <w:r w:rsidR="0069510D" w:rsidRPr="00EB063F">
        <w:rPr>
          <w:rFonts w:ascii="Times New Roman" w:hAnsi="Times New Roman" w:cs="Times New Roman"/>
          <w:bCs/>
          <w:lang w:val="it-IT"/>
        </w:rPr>
        <w:t xml:space="preserve"> </w:t>
      </w:r>
      <w:r w:rsidRPr="00EB063F">
        <w:rPr>
          <w:rFonts w:ascii="Times New Roman" w:hAnsi="Times New Roman" w:cs="Times New Roman"/>
          <w:bCs/>
          <w:lang w:val="it-IT"/>
        </w:rPr>
        <w:t xml:space="preserve">(ORR) </w:t>
      </w:r>
      <w:r w:rsidR="004D047D" w:rsidRPr="00EB063F">
        <w:rPr>
          <w:rFonts w:ascii="Times New Roman" w:hAnsi="Times New Roman" w:cs="Times New Roman"/>
          <w:bCs/>
          <w:lang w:val="it-IT"/>
        </w:rPr>
        <w:t>nell</w:t>
      </w:r>
      <w:r w:rsidR="00A96972" w:rsidRPr="00EB063F">
        <w:rPr>
          <w:rFonts w:ascii="Times New Roman" w:hAnsi="Times New Roman" w:cs="Times New Roman"/>
          <w:bCs/>
          <w:lang w:val="it-IT"/>
        </w:rPr>
        <w:t>a</w:t>
      </w:r>
      <w:r w:rsidR="004D047D" w:rsidRPr="00EB063F">
        <w:rPr>
          <w:rFonts w:ascii="Times New Roman" w:hAnsi="Times New Roman" w:cs="Times New Roman"/>
          <w:bCs/>
          <w:lang w:val="it-IT"/>
        </w:rPr>
        <w:t xml:space="preserve"> popolazione di pazienti a rischio intermedio </w:t>
      </w:r>
      <w:r w:rsidR="00F313ED">
        <w:rPr>
          <w:rFonts w:ascii="Times New Roman" w:hAnsi="Times New Roman" w:cs="Times New Roman"/>
          <w:bCs/>
          <w:lang w:val="it-IT"/>
        </w:rPr>
        <w:t>e</w:t>
      </w:r>
      <w:r w:rsidR="00F313ED" w:rsidRPr="00EB063F">
        <w:rPr>
          <w:rFonts w:ascii="Times New Roman" w:hAnsi="Times New Roman" w:cs="Times New Roman"/>
          <w:bCs/>
          <w:lang w:val="it-IT"/>
        </w:rPr>
        <w:t xml:space="preserve"> </w:t>
      </w:r>
      <w:r w:rsidR="004D047D" w:rsidRPr="00EB063F">
        <w:rPr>
          <w:rFonts w:ascii="Times New Roman" w:hAnsi="Times New Roman" w:cs="Times New Roman"/>
          <w:bCs/>
          <w:lang w:val="it-IT"/>
        </w:rPr>
        <w:t xml:space="preserve">basso </w:t>
      </w:r>
      <w:r w:rsidRPr="00EB063F">
        <w:rPr>
          <w:rFonts w:ascii="Times New Roman" w:hAnsi="Times New Roman" w:cs="Times New Roman"/>
          <w:bCs/>
          <w:lang w:val="it-IT"/>
        </w:rPr>
        <w:t>(</w:t>
      </w:r>
      <w:r w:rsidR="004D047D" w:rsidRPr="00EB063F">
        <w:rPr>
          <w:rFonts w:ascii="Times New Roman" w:hAnsi="Times New Roman" w:cs="Times New Roman"/>
          <w:bCs/>
          <w:lang w:val="it-IT"/>
        </w:rPr>
        <w:t xml:space="preserve">circa il </w:t>
      </w:r>
      <w:r w:rsidRPr="00EB063F">
        <w:rPr>
          <w:rFonts w:ascii="Times New Roman" w:hAnsi="Times New Roman" w:cs="Times New Roman"/>
          <w:bCs/>
          <w:lang w:val="it-IT"/>
        </w:rPr>
        <w:t xml:space="preserve">75% </w:t>
      </w:r>
      <w:r w:rsidR="004D047D" w:rsidRPr="00EB063F">
        <w:rPr>
          <w:rFonts w:ascii="Times New Roman" w:hAnsi="Times New Roman" w:cs="Times New Roman"/>
          <w:bCs/>
          <w:lang w:val="it-IT"/>
        </w:rPr>
        <w:t>dei pazienti</w:t>
      </w:r>
      <w:r w:rsidRPr="00EB063F">
        <w:rPr>
          <w:rFonts w:ascii="Times New Roman" w:hAnsi="Times New Roman" w:cs="Times New Roman"/>
          <w:bCs/>
          <w:lang w:val="it-IT"/>
        </w:rPr>
        <w:t>).</w:t>
      </w:r>
      <w:r w:rsidR="000E6A5E" w:rsidRPr="00EB063F">
        <w:rPr>
          <w:rFonts w:ascii="Times New Roman" w:hAnsi="Times New Roman" w:cs="Times New Roman"/>
          <w:bCs/>
          <w:lang w:val="it-IT"/>
        </w:rPr>
        <w:t xml:space="preserve"> </w:t>
      </w:r>
      <w:r w:rsidR="00A96972" w:rsidRPr="00EB063F">
        <w:rPr>
          <w:rFonts w:ascii="Times New Roman" w:hAnsi="Times New Roman" w:cs="Times New Roman"/>
          <w:bCs/>
          <w:lang w:val="it-IT"/>
        </w:rPr>
        <w:t xml:space="preserve">Il tasso di risposta globale </w:t>
      </w:r>
      <w:r w:rsidR="004D047D" w:rsidRPr="00EB063F">
        <w:rPr>
          <w:rFonts w:ascii="Times New Roman" w:hAnsi="Times New Roman" w:cs="Times New Roman"/>
          <w:bCs/>
          <w:lang w:val="it-IT"/>
        </w:rPr>
        <w:t>era determinat</w:t>
      </w:r>
      <w:r w:rsidR="00A96972" w:rsidRPr="00EB063F">
        <w:rPr>
          <w:rFonts w:ascii="Times New Roman" w:hAnsi="Times New Roman" w:cs="Times New Roman"/>
          <w:bCs/>
          <w:lang w:val="it-IT"/>
        </w:rPr>
        <w:t>o</w:t>
      </w:r>
      <w:r w:rsidR="004D047D" w:rsidRPr="00EB063F">
        <w:rPr>
          <w:rFonts w:ascii="Times New Roman" w:hAnsi="Times New Roman" w:cs="Times New Roman"/>
          <w:bCs/>
          <w:lang w:val="it-IT"/>
        </w:rPr>
        <w:t xml:space="preserve"> da un comitato indipendente di revisione radiologica </w:t>
      </w:r>
      <w:r w:rsidR="00AC1532" w:rsidRPr="00EB063F">
        <w:rPr>
          <w:rFonts w:ascii="Times New Roman" w:hAnsi="Times New Roman" w:cs="Times New Roman"/>
          <w:bCs/>
          <w:lang w:val="it-IT"/>
        </w:rPr>
        <w:t xml:space="preserve">(IRRC). </w:t>
      </w:r>
    </w:p>
    <w:p w14:paraId="727316DE" w14:textId="77777777" w:rsidR="00587BA0" w:rsidRPr="00EB063F" w:rsidRDefault="00587BA0" w:rsidP="00B3416D">
      <w:pPr>
        <w:spacing w:line="360" w:lineRule="auto"/>
        <w:ind w:right="115"/>
        <w:jc w:val="both"/>
        <w:rPr>
          <w:rFonts w:ascii="Times New Roman" w:hAnsi="Times New Roman" w:cs="Times New Roman"/>
          <w:bCs/>
          <w:lang w:val="it-IT"/>
        </w:rPr>
      </w:pPr>
    </w:p>
    <w:p w14:paraId="444147DF" w14:textId="7867D2B8" w:rsidR="00587BA0" w:rsidRPr="00EB063F" w:rsidRDefault="00FE5E4F" w:rsidP="00B3416D">
      <w:pPr>
        <w:spacing w:line="360" w:lineRule="auto"/>
        <w:ind w:right="115"/>
        <w:jc w:val="both"/>
        <w:rPr>
          <w:rFonts w:ascii="Times New Roman" w:hAnsi="Times New Roman" w:cs="Times New Roman"/>
          <w:bCs/>
          <w:lang w:val="it-IT"/>
        </w:rPr>
      </w:pPr>
      <w:r w:rsidRPr="00EB063F">
        <w:rPr>
          <w:rFonts w:ascii="Times New Roman" w:hAnsi="Times New Roman" w:cs="Times New Roman"/>
          <w:b/>
          <w:bCs/>
          <w:u w:val="single"/>
          <w:lang w:val="it-IT"/>
        </w:rPr>
        <w:t>Il carcinoma a cellule renali</w:t>
      </w:r>
    </w:p>
    <w:p w14:paraId="51A4E868" w14:textId="77777777" w:rsidR="00F71B12" w:rsidRPr="00A46555" w:rsidRDefault="00F71B12" w:rsidP="00F71B12">
      <w:pPr>
        <w:spacing w:line="360" w:lineRule="auto"/>
        <w:ind w:firstLine="567"/>
        <w:contextualSpacing/>
        <w:jc w:val="both"/>
        <w:rPr>
          <w:rFonts w:ascii="Times New Roman" w:eastAsia="Calibri" w:hAnsi="Times New Roman" w:cs="Times New Roman"/>
          <w:lang w:val="it-IT"/>
        </w:rPr>
      </w:pPr>
      <w:r w:rsidRPr="00A46555">
        <w:rPr>
          <w:rFonts w:ascii="Times New Roman" w:eastAsia="Calibri" w:hAnsi="Times New Roman" w:cs="Times New Roman"/>
          <w:lang w:val="it-IT"/>
        </w:rPr>
        <w:t>Il carcinoma a cellule renali (RCC) è il più comune tipo di tumore del rene negli adulti, responsabile ogni anno di oltre 140.000 morti nel mondo. Il carcinoma a cellule renali è circa due volte più comune negli uomini che nelle donne, con i più alti tassi di malattia in Nord America e in Europa. Globalmente, il tasso di sopravvivenza a cinque anni, nei pazienti con diagnosi di tumore del rene metastatico o avanzato, è del 12,1%.</w:t>
      </w:r>
    </w:p>
    <w:p w14:paraId="1A867275" w14:textId="77777777" w:rsidR="00587BA0" w:rsidRPr="00EB063F" w:rsidRDefault="00587BA0" w:rsidP="00B3416D">
      <w:pPr>
        <w:spacing w:line="360" w:lineRule="auto"/>
        <w:ind w:right="115"/>
        <w:jc w:val="both"/>
        <w:rPr>
          <w:rFonts w:ascii="Times New Roman" w:hAnsi="Times New Roman" w:cs="Times New Roman"/>
          <w:bCs/>
          <w:lang w:val="it-IT"/>
        </w:rPr>
      </w:pPr>
    </w:p>
    <w:p w14:paraId="32E1AB3A" w14:textId="7A3EE31E" w:rsidR="00587BA0" w:rsidRPr="00EB063F" w:rsidRDefault="00587BA0" w:rsidP="00B3416D">
      <w:pPr>
        <w:spacing w:line="360" w:lineRule="auto"/>
        <w:jc w:val="both"/>
        <w:rPr>
          <w:rFonts w:ascii="Times New Roman" w:eastAsia="Times New Roman" w:hAnsi="Times New Roman" w:cs="Times New Roman"/>
          <w:b/>
          <w:bCs/>
          <w:color w:val="000000" w:themeColor="text1"/>
          <w:u w:val="single"/>
          <w:lang w:val="it-IT"/>
        </w:rPr>
      </w:pPr>
      <w:r w:rsidRPr="00EB063F">
        <w:rPr>
          <w:rFonts w:ascii="Times New Roman" w:eastAsia="Times New Roman" w:hAnsi="Times New Roman" w:cs="Times New Roman"/>
          <w:b/>
          <w:bCs/>
          <w:color w:val="000000" w:themeColor="text1"/>
          <w:u w:val="single"/>
          <w:lang w:val="it-IT"/>
        </w:rPr>
        <w:t xml:space="preserve">Bristol Myers Squibb: </w:t>
      </w:r>
      <w:r w:rsidR="006E1A82" w:rsidRPr="00EB063F">
        <w:rPr>
          <w:rFonts w:ascii="Times New Roman" w:eastAsia="Times New Roman" w:hAnsi="Times New Roman" w:cs="Times New Roman"/>
          <w:b/>
          <w:bCs/>
          <w:color w:val="000000" w:themeColor="text1"/>
          <w:u w:val="single"/>
          <w:lang w:val="it-IT"/>
        </w:rPr>
        <w:t xml:space="preserve">avanguardia nella ricerca oncologica </w:t>
      </w:r>
    </w:p>
    <w:p w14:paraId="4F797267" w14:textId="77777777" w:rsidR="00F71B12" w:rsidRPr="00F71B12" w:rsidRDefault="00F71B12" w:rsidP="00F71B12">
      <w:pPr>
        <w:spacing w:line="360" w:lineRule="auto"/>
        <w:ind w:firstLine="567"/>
        <w:jc w:val="both"/>
        <w:rPr>
          <w:rFonts w:ascii="Times New Roman" w:eastAsia="Times New Roman" w:hAnsi="Times New Roman" w:cs="Times New Roman"/>
          <w:lang w:val="it-IT" w:eastAsia="it-IT"/>
        </w:rPr>
      </w:pPr>
      <w:r w:rsidRPr="00F71B12">
        <w:rPr>
          <w:rFonts w:ascii="Times New Roman" w:eastAsia="Times New Roman" w:hAnsi="Times New Roman" w:cs="Times New Roman"/>
          <w:lang w:val="it-IT" w:eastAsia="it-IT"/>
        </w:rPr>
        <w:t xml:space="preserve">In Bristol Myers Squibb i pazienti sono al centro di tutto ciò che facciamo. La nostra ricerca è focalizzata a migliorare la qualità di vita dei pazienti, aumentare la sopravvivenza a lungo termine e </w:t>
      </w:r>
      <w:r w:rsidRPr="00F71B12">
        <w:rPr>
          <w:rFonts w:ascii="Times New Roman" w:eastAsia="Times New Roman" w:hAnsi="Times New Roman" w:cs="Times New Roman"/>
          <w:lang w:val="it-IT" w:eastAsia="it-IT"/>
        </w:rPr>
        <w:lastRenderedPageBreak/>
        <w:t xml:space="preserve">rendere la cura possibile. Forti di una profonda esperienza scientifica e grazie all’utilizzo di tecnologie e piattaforme all’avanguardia, scopriamo, sviluppiamo e rendiamo disponibili nuovi trattamenti per i pazienti. </w:t>
      </w:r>
    </w:p>
    <w:p w14:paraId="0126A8FF" w14:textId="77777777" w:rsidR="00F71B12" w:rsidRPr="00F71B12" w:rsidRDefault="00F71B12" w:rsidP="00F71B12">
      <w:pPr>
        <w:spacing w:line="360" w:lineRule="auto"/>
        <w:ind w:firstLine="567"/>
        <w:jc w:val="both"/>
        <w:rPr>
          <w:rFonts w:ascii="Times New Roman" w:eastAsia="Times New Roman" w:hAnsi="Times New Roman" w:cs="Times New Roman"/>
          <w:lang w:val="it-IT" w:eastAsia="it-IT"/>
        </w:rPr>
      </w:pPr>
      <w:r w:rsidRPr="00F71B12">
        <w:rPr>
          <w:rFonts w:ascii="Times New Roman" w:eastAsia="Times New Roman" w:hAnsi="Times New Roman" w:cs="Times New Roman"/>
          <w:lang w:val="it-IT" w:eastAsia="it-IT"/>
        </w:rPr>
        <w:t xml:space="preserve">Attraverso il nostro lavoro di grande impatto e la nostra eredità in ematologia e immuno-oncologia, che ha cambiato le aspettative di sopravvivenza in molti tumori, i nostri ricercatori stanno facendo progredire una profonda e diversificata pipeline in molti modi. </w:t>
      </w:r>
    </w:p>
    <w:p w14:paraId="432DEE5E" w14:textId="77777777" w:rsidR="00F71B12" w:rsidRPr="00F71B12" w:rsidRDefault="00F71B12" w:rsidP="00F71B12">
      <w:pPr>
        <w:spacing w:line="360" w:lineRule="auto"/>
        <w:ind w:firstLine="567"/>
        <w:jc w:val="both"/>
        <w:rPr>
          <w:rStyle w:val="bwuline"/>
          <w:rFonts w:ascii="Times New Roman" w:hAnsi="Times New Roman" w:cs="Times New Roman"/>
          <w:lang w:val="it-IT"/>
        </w:rPr>
      </w:pPr>
      <w:r w:rsidRPr="00F71B12">
        <w:rPr>
          <w:rFonts w:ascii="Times New Roman" w:eastAsia="Times New Roman" w:hAnsi="Times New Roman" w:cs="Times New Roman"/>
          <w:lang w:val="it-IT" w:eastAsia="it-IT"/>
        </w:rPr>
        <w:t>Nel campo della terapia cellulare, questo include la registrazione di agenti CAR-T per numerose patologie e una crescente pipeline in fase iniziale di sviluppo che amplia i bersagli della terapia cellulare e genica e le tecnologie. Stiamo sviluppando trattamenti antitumorali diretti a vie cellulari chiave utilizzando la nostra piattaforma di omeostasi proteica, una competenza di ricerca che è stata il fondamento delle nostre terapie approvate per il mieloma multiplo e diverse promettenti molecole in fase iniziale o intermedia di sviluppo. I nostri ricercatori stanno sviluppando una pipeline diversificata per mirare alle diverse vie del sistema immunitario e far fronte alle complesse e specifiche interazioni tra tumore, microambiente e sistema immunitario per ampliare ulteriormente i progressi fatti e aiutare più pazienti a rispondere al trattamento. La combinazione di questi approcci è la chiave per fornire nuove opzioni di trattamento antitumorale e per affrontare il tema sempre più importante della resistenza all’immunoterapia. La nostra capacità di innovazione deriva sia dall’interno sia dalla collaborazione con il mondo accademico, le istituzioni, le associazioni dei pazienti e le aziende biotech, affinché la promessa di nuove opzioni di trattamento innovative diventi una realtà per i pazienti.</w:t>
      </w:r>
    </w:p>
    <w:p w14:paraId="3F8EE235" w14:textId="77777777" w:rsidR="00F71B12" w:rsidRPr="00EB063F" w:rsidRDefault="00F71B12" w:rsidP="00B3416D">
      <w:pPr>
        <w:spacing w:line="360" w:lineRule="auto"/>
        <w:jc w:val="both"/>
        <w:rPr>
          <w:rFonts w:ascii="Times New Roman" w:eastAsia="Times New Roman" w:hAnsi="Times New Roman" w:cs="Times New Roman"/>
          <w:color w:val="000000" w:themeColor="text1"/>
          <w:lang w:val="it-IT" w:eastAsia="zh-CN"/>
        </w:rPr>
      </w:pPr>
    </w:p>
    <w:p w14:paraId="092FB173" w14:textId="3A533F6F" w:rsidR="00587BA0" w:rsidRPr="00EB063F" w:rsidRDefault="006E1A82" w:rsidP="00B3416D">
      <w:pPr>
        <w:spacing w:line="360" w:lineRule="auto"/>
        <w:jc w:val="both"/>
        <w:rPr>
          <w:rFonts w:ascii="Times New Roman" w:eastAsia="Times New Roman" w:hAnsi="Times New Roman" w:cs="Times New Roman"/>
          <w:b/>
          <w:bCs/>
          <w:i/>
          <w:color w:val="000000" w:themeColor="text1"/>
          <w:u w:val="single"/>
          <w:lang w:val="it-IT"/>
        </w:rPr>
      </w:pPr>
      <w:r w:rsidRPr="00EB063F">
        <w:rPr>
          <w:rFonts w:ascii="Times New Roman" w:eastAsia="Times New Roman" w:hAnsi="Times New Roman" w:cs="Times New Roman"/>
          <w:b/>
          <w:bCs/>
          <w:color w:val="000000" w:themeColor="text1"/>
          <w:u w:val="single"/>
          <w:lang w:val="it-IT"/>
        </w:rPr>
        <w:t>Nivolumab</w:t>
      </w:r>
    </w:p>
    <w:p w14:paraId="0861F1A4" w14:textId="77777777" w:rsidR="006E1A82" w:rsidRPr="00EB063F" w:rsidRDefault="006E1A82" w:rsidP="00B3416D">
      <w:pPr>
        <w:spacing w:line="360" w:lineRule="auto"/>
        <w:ind w:firstLine="720"/>
        <w:jc w:val="both"/>
        <w:rPr>
          <w:rFonts w:ascii="Times New Roman" w:eastAsia="Times New Roman" w:hAnsi="Times New Roman" w:cs="Times New Roman"/>
          <w:color w:val="000000" w:themeColor="text1"/>
          <w:lang w:val="it-IT"/>
        </w:rPr>
      </w:pPr>
      <w:r w:rsidRPr="00EB063F">
        <w:rPr>
          <w:rFonts w:ascii="Times New Roman" w:eastAsia="Times New Roman" w:hAnsi="Times New Roman" w:cs="Times New Roman"/>
          <w:color w:val="000000" w:themeColor="text1"/>
          <w:lang w:val="it-IT"/>
        </w:rPr>
        <w:t>Nivolumab</w:t>
      </w:r>
      <w:r w:rsidRPr="00EB063F">
        <w:rPr>
          <w:rFonts w:ascii="Times New Roman" w:eastAsia="Times New Roman" w:hAnsi="Times New Roman" w:cs="Times New Roman"/>
          <w:i/>
          <w:iCs/>
          <w:color w:val="000000" w:themeColor="text1"/>
          <w:lang w:val="it-IT"/>
        </w:rPr>
        <w:t xml:space="preserve"> </w:t>
      </w:r>
      <w:r w:rsidRPr="00EB063F">
        <w:rPr>
          <w:rFonts w:ascii="Times New Roman" w:eastAsia="Times New Roman" w:hAnsi="Times New Roman" w:cs="Times New Roman"/>
          <w:color w:val="000000" w:themeColor="text1"/>
          <w:lang w:val="it-IT"/>
        </w:rPr>
        <w:t>è un inibitore del checkpoint immunitario PD-1, che è stato progettato per potenziare il nostro sistema immunitario al fine di ristabilire la risposta immunitaria anti-tumorale. Rinforzando il nostro sistema immunitario contro il cancro, nivolumab è divenuto un’importante opzione di trattamento per molti tipi di tumore.</w:t>
      </w:r>
    </w:p>
    <w:p w14:paraId="307FD448" w14:textId="7560CA96" w:rsidR="006E1A82" w:rsidRPr="00EB063F" w:rsidRDefault="006E1A82" w:rsidP="00B3416D">
      <w:pPr>
        <w:spacing w:line="360" w:lineRule="auto"/>
        <w:jc w:val="both"/>
        <w:rPr>
          <w:rFonts w:ascii="Times New Roman" w:eastAsia="Times New Roman" w:hAnsi="Times New Roman" w:cs="Times New Roman"/>
          <w:color w:val="000000" w:themeColor="text1"/>
          <w:lang w:val="it-IT"/>
        </w:rPr>
      </w:pPr>
      <w:r w:rsidRPr="00EB063F">
        <w:rPr>
          <w:rFonts w:ascii="Times New Roman" w:eastAsia="Times New Roman" w:hAnsi="Times New Roman" w:cs="Times New Roman"/>
          <w:color w:val="000000" w:themeColor="text1"/>
          <w:lang w:val="it-IT"/>
        </w:rPr>
        <w:t>Il programma globale di sviluppo di nivolumab si basa sulle conoscenze scientifiche di Bristol</w:t>
      </w:r>
      <w:r w:rsidR="00A11201" w:rsidRPr="00EB063F">
        <w:rPr>
          <w:rFonts w:ascii="Times New Roman" w:eastAsia="Times New Roman" w:hAnsi="Times New Roman" w:cs="Times New Roman"/>
          <w:color w:val="000000" w:themeColor="text1"/>
          <w:lang w:val="it-IT"/>
        </w:rPr>
        <w:t xml:space="preserve"> </w:t>
      </w:r>
      <w:r w:rsidRPr="00EB063F">
        <w:rPr>
          <w:rFonts w:ascii="Times New Roman" w:eastAsia="Times New Roman" w:hAnsi="Times New Roman" w:cs="Times New Roman"/>
          <w:color w:val="000000" w:themeColor="text1"/>
          <w:lang w:val="it-IT"/>
        </w:rPr>
        <w:t>Myers Squibb nel campo dell’immuno-oncologia e include un’ampia gamma di studi clinici, in tutte le fasi della sperimentazione, compresa la fase 3, in molti tipi di tumori. Ad oggi, nel programma di sviluppo clinico di nivolumab sono stati arruolati più di 35.000 pazienti. Gli studi clinici con nivolumab hanno contribuito ad approfondire le conoscenze sul potenziale ruolo dei biomarcatori nella cura dei pazienti, in particolare nel modo in cui essi possano beneficiare di nivolumab trasversalmente ai livelli di espressione di PD-L1.</w:t>
      </w:r>
    </w:p>
    <w:p w14:paraId="1FC6407C" w14:textId="3C11EE9D" w:rsidR="006E1A82" w:rsidRPr="00EB063F" w:rsidRDefault="006E1A82" w:rsidP="00B3416D">
      <w:pPr>
        <w:widowControl w:val="0"/>
        <w:autoSpaceDE w:val="0"/>
        <w:autoSpaceDN w:val="0"/>
        <w:spacing w:line="360" w:lineRule="auto"/>
        <w:ind w:firstLine="720"/>
        <w:jc w:val="both"/>
        <w:rPr>
          <w:rFonts w:ascii="Times New Roman" w:eastAsia="Times New Roman" w:hAnsi="Times New Roman" w:cs="Times New Roman"/>
          <w:lang w:val="it-IT"/>
        </w:rPr>
      </w:pPr>
      <w:r w:rsidRPr="00EB063F">
        <w:rPr>
          <w:rFonts w:ascii="Times New Roman" w:eastAsia="Times New Roman" w:hAnsi="Times New Roman" w:cs="Times New Roman"/>
          <w:color w:val="000000" w:themeColor="text1"/>
          <w:lang w:val="it-IT"/>
        </w:rPr>
        <w:lastRenderedPageBreak/>
        <w:t xml:space="preserve">A luglio 2014, nivolumab è stato il primo inibitore del checkpoint immunitario PD-1 al mondo ad aver ottenuto l’approvazione dalle Autorità Regolatorie. Attualmente è approvato in più di 65 Paesi, inclusi gli Stati Uniti, l’Unione Europea, il Giappone e la Cina. A ottobre 2015, la combinazione di </w:t>
      </w:r>
      <w:proofErr w:type="spellStart"/>
      <w:r w:rsidRPr="00EB063F">
        <w:rPr>
          <w:rFonts w:ascii="Times New Roman" w:eastAsia="Times New Roman" w:hAnsi="Times New Roman" w:cs="Times New Roman"/>
          <w:color w:val="000000" w:themeColor="text1"/>
          <w:lang w:val="it-IT"/>
        </w:rPr>
        <w:t>nivolumab</w:t>
      </w:r>
      <w:proofErr w:type="spellEnd"/>
      <w:r w:rsidRPr="00EB063F">
        <w:rPr>
          <w:rFonts w:ascii="Times New Roman" w:eastAsia="Times New Roman" w:hAnsi="Times New Roman" w:cs="Times New Roman"/>
          <w:color w:val="000000" w:themeColor="text1"/>
          <w:lang w:val="it-IT"/>
        </w:rPr>
        <w:t xml:space="preserve"> </w:t>
      </w:r>
      <w:r w:rsidR="00914F37">
        <w:rPr>
          <w:rFonts w:ascii="Times New Roman" w:eastAsia="Times New Roman" w:hAnsi="Times New Roman" w:cs="Times New Roman"/>
          <w:color w:val="000000" w:themeColor="text1"/>
          <w:lang w:val="it-IT"/>
        </w:rPr>
        <w:t>più</w:t>
      </w:r>
      <w:r w:rsidR="00914F37" w:rsidRPr="00EB063F">
        <w:rPr>
          <w:rFonts w:ascii="Times New Roman" w:eastAsia="Times New Roman" w:hAnsi="Times New Roman" w:cs="Times New Roman"/>
          <w:color w:val="000000" w:themeColor="text1"/>
          <w:lang w:val="it-IT"/>
        </w:rPr>
        <w:t xml:space="preserve"> </w:t>
      </w:r>
      <w:proofErr w:type="spellStart"/>
      <w:r w:rsidRPr="00EB063F">
        <w:rPr>
          <w:rFonts w:ascii="Times New Roman" w:eastAsia="Times New Roman" w:hAnsi="Times New Roman" w:cs="Times New Roman"/>
          <w:color w:val="000000" w:themeColor="text1"/>
          <w:lang w:val="it-IT"/>
        </w:rPr>
        <w:t>ipilimumab</w:t>
      </w:r>
      <w:proofErr w:type="spellEnd"/>
      <w:r w:rsidRPr="00EB063F">
        <w:rPr>
          <w:rFonts w:ascii="Times New Roman" w:eastAsia="Times New Roman" w:hAnsi="Times New Roman" w:cs="Times New Roman"/>
          <w:color w:val="000000" w:themeColor="text1"/>
          <w:lang w:val="it-IT"/>
        </w:rPr>
        <w:t xml:space="preserve"> è stato il primo regime in campo immuno-oncologico a ricevere l’approvazione dalle Autorità Regolatorie per il trattamento del melanoma metastatico ed è attualmente approvata in più di 50 Paesi, inclusi gli Stati Uniti e l’Unione Europea.</w:t>
      </w:r>
    </w:p>
    <w:p w14:paraId="14A9C521" w14:textId="77777777" w:rsidR="00587BA0" w:rsidRPr="00EB063F" w:rsidRDefault="00587BA0" w:rsidP="00B3416D">
      <w:pPr>
        <w:widowControl w:val="0"/>
        <w:autoSpaceDE w:val="0"/>
        <w:autoSpaceDN w:val="0"/>
        <w:spacing w:line="23" w:lineRule="atLeast"/>
        <w:jc w:val="both"/>
        <w:rPr>
          <w:rFonts w:ascii="Times New Roman" w:eastAsia="Times New Roman" w:hAnsi="Times New Roman" w:cs="Times New Roman"/>
          <w:b/>
          <w:bCs/>
          <w:u w:val="single"/>
          <w:lang w:val="it-IT"/>
        </w:rPr>
      </w:pPr>
    </w:p>
    <w:p w14:paraId="241CA84F" w14:textId="2A0064B2" w:rsidR="004D047D" w:rsidRPr="00EB063F" w:rsidRDefault="004D047D" w:rsidP="00B3416D">
      <w:pPr>
        <w:widowControl w:val="0"/>
        <w:autoSpaceDE w:val="0"/>
        <w:autoSpaceDN w:val="0"/>
        <w:spacing w:line="360" w:lineRule="auto"/>
        <w:jc w:val="both"/>
        <w:rPr>
          <w:rFonts w:ascii="Times New Roman" w:eastAsia="Times New Roman" w:hAnsi="Times New Roman" w:cs="Times New Roman"/>
          <w:b/>
          <w:i/>
          <w:iCs/>
          <w:u w:val="single"/>
          <w:lang w:val="it-IT"/>
        </w:rPr>
      </w:pPr>
      <w:r w:rsidRPr="00EB063F">
        <w:rPr>
          <w:rFonts w:ascii="Times New Roman" w:eastAsia="Times New Roman" w:hAnsi="Times New Roman" w:cs="Times New Roman"/>
          <w:b/>
          <w:iCs/>
          <w:u w:val="single"/>
          <w:lang w:val="it-IT"/>
        </w:rPr>
        <w:t>Ipilimumab</w:t>
      </w:r>
    </w:p>
    <w:p w14:paraId="74601EBB" w14:textId="34F38B18" w:rsidR="004D047D" w:rsidRDefault="004D047D" w:rsidP="00B3416D">
      <w:pPr>
        <w:widowControl w:val="0"/>
        <w:autoSpaceDE w:val="0"/>
        <w:autoSpaceDN w:val="0"/>
        <w:spacing w:line="360" w:lineRule="auto"/>
        <w:ind w:firstLine="720"/>
        <w:jc w:val="both"/>
        <w:rPr>
          <w:rFonts w:ascii="Times New Roman" w:eastAsia="Times New Roman" w:hAnsi="Times New Roman" w:cs="Times New Roman"/>
          <w:bCs/>
          <w:lang w:val="it-IT"/>
        </w:rPr>
      </w:pPr>
      <w:r w:rsidRPr="00B3416D">
        <w:rPr>
          <w:rFonts w:ascii="Times New Roman" w:eastAsia="Times New Roman" w:hAnsi="Times New Roman" w:cs="Times New Roman"/>
          <w:bCs/>
          <w:lang w:val="it-IT"/>
        </w:rPr>
        <w:t xml:space="preserve">Ipilimumab è un anticorpo monoclonale ricombinante umano, che si lega a CTLA-4 (cytotoxic T-lymphocyte-associated antigen-4). CTLA-4 è un regolatore negativo dell’attività delle cellule T. Ipilimumab si lega a CTLA-4 e blocca l’interazione di CTLA-4 con i suoi ligandi, CD80/CD86. È dimostrato che il blocco di CTLA-4 aumenta l’attivazione e la proliferazione delle cellule T, comprese le cellule T effettrici infiltranti il tumore. </w:t>
      </w:r>
      <w:r w:rsidRPr="00EB063F">
        <w:rPr>
          <w:rFonts w:ascii="Times New Roman" w:eastAsia="Times New Roman" w:hAnsi="Times New Roman" w:cs="Times New Roman"/>
          <w:bCs/>
          <w:lang w:val="it-IT"/>
        </w:rPr>
        <w:t>L’inibizione del segnale CTLA-4 può anche ridurre la funzione delle cellule T regolatorie, che può contribuire a sua volta a un generale aumento della risposta delle cellule T, tra cui anche la risposta immune anti-tumorale. Il 25 marzo 2011, la Food and Drug Administration (FDA) statunitense ha approvato la monoterapia con ipilimumab 3 mg/kg per i pazienti con melanoma non operabile o metastatico. Ipilimumab è approvato per queste stesse indicazioni in più di 50 Paesi. Esiste un ampio programma di sviluppo, attualmente in corso, per ipilimumab in molteplici forme tumorali.</w:t>
      </w:r>
    </w:p>
    <w:p w14:paraId="7E2BE2B8" w14:textId="74A5A63A" w:rsidR="007D0292" w:rsidRDefault="007D0292" w:rsidP="00B3416D">
      <w:pPr>
        <w:widowControl w:val="0"/>
        <w:autoSpaceDE w:val="0"/>
        <w:autoSpaceDN w:val="0"/>
        <w:spacing w:line="360" w:lineRule="auto"/>
        <w:ind w:firstLine="720"/>
        <w:jc w:val="both"/>
        <w:rPr>
          <w:rFonts w:ascii="Times New Roman" w:eastAsia="Times New Roman" w:hAnsi="Times New Roman" w:cs="Times New Roman"/>
          <w:bCs/>
          <w:lang w:val="it-IT"/>
        </w:rPr>
      </w:pPr>
    </w:p>
    <w:p w14:paraId="6197A352" w14:textId="16FBDFB8" w:rsidR="007D0292" w:rsidRPr="0088302A" w:rsidRDefault="007D0292" w:rsidP="007D0292">
      <w:pPr>
        <w:spacing w:line="360" w:lineRule="auto"/>
        <w:rPr>
          <w:rFonts w:ascii="Times New Roman" w:eastAsia="Calibri" w:hAnsi="Times New Roman" w:cs="Times New Roman"/>
          <w:b/>
          <w:bCs/>
          <w:u w:val="single"/>
          <w:lang w:val="it-IT"/>
        </w:rPr>
      </w:pPr>
      <w:r w:rsidRPr="0088302A">
        <w:rPr>
          <w:rFonts w:ascii="Times New Roman" w:eastAsia="Calibri" w:hAnsi="Times New Roman" w:cs="Times New Roman"/>
          <w:b/>
          <w:bCs/>
          <w:u w:val="single"/>
          <w:lang w:val="it-IT"/>
        </w:rPr>
        <w:t>Indicazioni</w:t>
      </w:r>
    </w:p>
    <w:p w14:paraId="11615A42" w14:textId="053D38A2" w:rsidR="007D0292" w:rsidRPr="00A10CF3" w:rsidRDefault="007D0292" w:rsidP="007D0292">
      <w:pPr>
        <w:spacing w:line="360" w:lineRule="auto"/>
        <w:ind w:firstLine="567"/>
        <w:jc w:val="both"/>
        <w:rPr>
          <w:rFonts w:ascii="Times New Roman" w:eastAsia="Times New Roman" w:hAnsi="Times New Roman" w:cs="Times New Roman"/>
          <w:lang w:val="it-IT" w:eastAsia="it-IT"/>
        </w:rPr>
      </w:pPr>
      <w:r w:rsidRPr="00A10CF3">
        <w:rPr>
          <w:rFonts w:ascii="Times New Roman" w:eastAsia="Times New Roman" w:hAnsi="Times New Roman" w:cs="Times New Roman"/>
          <w:lang w:val="it-IT" w:eastAsia="it-IT"/>
        </w:rPr>
        <w:t>Nivolumab in combinazione con ipilimumab ha ricevuto l’approvazione EMA nel trattamento in prima linea di pazienti adulti con melanoma avanzato e nel trattamento in prima linea di pazienti adulti con carcinoma a cellule renali avanzato a rischio intermedio/sfavorevole.</w:t>
      </w:r>
    </w:p>
    <w:p w14:paraId="4E257DD6" w14:textId="6A1737BB" w:rsidR="00587BA0" w:rsidRPr="00EB063F" w:rsidRDefault="00587BA0" w:rsidP="00B3416D">
      <w:pPr>
        <w:tabs>
          <w:tab w:val="left" w:pos="720"/>
          <w:tab w:val="left" w:pos="1170"/>
        </w:tabs>
        <w:spacing w:line="360" w:lineRule="auto"/>
        <w:contextualSpacing/>
        <w:jc w:val="both"/>
        <w:rPr>
          <w:rFonts w:ascii="Times New Roman" w:eastAsia="Times New Roman" w:hAnsi="Times New Roman" w:cs="Times New Roman"/>
          <w:b/>
          <w:u w:val="single"/>
          <w:lang w:val="it-IT"/>
        </w:rPr>
      </w:pPr>
    </w:p>
    <w:p w14:paraId="2B45C40B" w14:textId="139D37F8" w:rsidR="00587BA0" w:rsidRPr="00EB063F" w:rsidRDefault="006E1A82" w:rsidP="00B3416D">
      <w:pPr>
        <w:spacing w:line="360" w:lineRule="auto"/>
        <w:jc w:val="both"/>
        <w:rPr>
          <w:rFonts w:ascii="Times New Roman" w:eastAsia="Times New Roman" w:hAnsi="Times New Roman" w:cs="Times New Roman"/>
          <w:b/>
          <w:bCs/>
          <w:u w:val="single"/>
          <w:lang w:val="it-IT"/>
        </w:rPr>
      </w:pPr>
      <w:r w:rsidRPr="00EB063F">
        <w:rPr>
          <w:rFonts w:ascii="Times New Roman" w:eastAsia="Times New Roman" w:hAnsi="Times New Roman" w:cs="Times New Roman"/>
          <w:b/>
          <w:bCs/>
          <w:u w:val="single"/>
          <w:lang w:val="it-IT"/>
        </w:rPr>
        <w:t xml:space="preserve">La collaborazione tra </w:t>
      </w:r>
      <w:r w:rsidR="00587BA0" w:rsidRPr="00EB063F">
        <w:rPr>
          <w:rFonts w:ascii="Times New Roman" w:eastAsia="Times New Roman" w:hAnsi="Times New Roman" w:cs="Times New Roman"/>
          <w:b/>
          <w:bCs/>
          <w:u w:val="single"/>
          <w:lang w:val="it-IT"/>
        </w:rPr>
        <w:t xml:space="preserve">Bristol Myers Squibb </w:t>
      </w:r>
      <w:r w:rsidRPr="00EB063F">
        <w:rPr>
          <w:rFonts w:ascii="Times New Roman" w:eastAsia="Times New Roman" w:hAnsi="Times New Roman" w:cs="Times New Roman"/>
          <w:b/>
          <w:bCs/>
          <w:u w:val="single"/>
          <w:lang w:val="it-IT"/>
        </w:rPr>
        <w:t>e</w:t>
      </w:r>
      <w:r w:rsidR="00587BA0" w:rsidRPr="00EB063F">
        <w:rPr>
          <w:rFonts w:ascii="Times New Roman" w:eastAsia="Times New Roman" w:hAnsi="Times New Roman" w:cs="Times New Roman"/>
          <w:b/>
          <w:bCs/>
          <w:u w:val="single"/>
          <w:lang w:val="it-IT"/>
        </w:rPr>
        <w:t xml:space="preserve"> Ono Pharmaceutical</w:t>
      </w:r>
    </w:p>
    <w:p w14:paraId="6FC6CA83" w14:textId="5960318C" w:rsidR="00114832" w:rsidRPr="00877D3A" w:rsidRDefault="006E1A82" w:rsidP="00B3416D">
      <w:pPr>
        <w:spacing w:line="360" w:lineRule="auto"/>
        <w:ind w:firstLine="720"/>
        <w:jc w:val="both"/>
        <w:rPr>
          <w:rFonts w:ascii="Times New Roman" w:eastAsia="Times New Roman" w:hAnsi="Times New Roman" w:cs="Times New Roman"/>
          <w:highlight w:val="yellow"/>
          <w:lang w:val="it-IT"/>
        </w:rPr>
      </w:pPr>
      <w:r w:rsidRPr="00877D3A">
        <w:rPr>
          <w:rFonts w:ascii="Times New Roman" w:eastAsia="Times New Roman" w:hAnsi="Times New Roman" w:cs="Times New Roman"/>
          <w:lang w:val="it-IT"/>
        </w:rPr>
        <w:t>Nel 2011, grazie a un accordo di collaborazione con Ono Pharmaceutical Co., Bristol</w:t>
      </w:r>
      <w:r w:rsidR="00A11201" w:rsidRPr="00877D3A">
        <w:rPr>
          <w:rFonts w:ascii="Times New Roman" w:eastAsia="Times New Roman" w:hAnsi="Times New Roman" w:cs="Times New Roman"/>
          <w:lang w:val="it-IT"/>
        </w:rPr>
        <w:t xml:space="preserve"> </w:t>
      </w:r>
      <w:r w:rsidRPr="00877D3A">
        <w:rPr>
          <w:rFonts w:ascii="Times New Roman" w:eastAsia="Times New Roman" w:hAnsi="Times New Roman" w:cs="Times New Roman"/>
          <w:lang w:val="it-IT"/>
        </w:rPr>
        <w:t>Myers Squibb ha esteso i diritti di sviluppo e commercializzazione di nivolumab in tutto il mondo esclusi Giappone, Corea del Sud e Taiwan, dove Ono mantiene tutti i diritti sul farmaco. Il 23 luglio 2014, Bristol</w:t>
      </w:r>
      <w:r w:rsidR="004637DA" w:rsidRPr="00877D3A">
        <w:rPr>
          <w:rFonts w:ascii="Times New Roman" w:eastAsia="Times New Roman" w:hAnsi="Times New Roman" w:cs="Times New Roman"/>
          <w:lang w:val="it-IT"/>
        </w:rPr>
        <w:t xml:space="preserve"> </w:t>
      </w:r>
      <w:r w:rsidRPr="00877D3A">
        <w:rPr>
          <w:rFonts w:ascii="Times New Roman" w:eastAsia="Times New Roman" w:hAnsi="Times New Roman" w:cs="Times New Roman"/>
          <w:lang w:val="it-IT"/>
        </w:rPr>
        <w:t>Myers Squibb e Ono hanno ulteriormente ampliato l’accordo di collaborazione strategica per sviluppare e commercializzare congiuntamente molteplici immunoterapie - sia come singoli farmaci che come regimi di combinazione - per il trattamento dei pazienti con cancro in Giappone, Corea del Sud e Taiwan.</w:t>
      </w:r>
    </w:p>
    <w:p w14:paraId="4BC6416F" w14:textId="77777777" w:rsidR="00587BA0" w:rsidRPr="00877D3A" w:rsidRDefault="00587BA0" w:rsidP="00B3416D">
      <w:pPr>
        <w:spacing w:line="360" w:lineRule="auto"/>
        <w:ind w:firstLine="720"/>
        <w:jc w:val="both"/>
        <w:rPr>
          <w:rFonts w:ascii="Times New Roman" w:eastAsia="Times New Roman" w:hAnsi="Times New Roman" w:cs="Times New Roman"/>
          <w:b/>
          <w:bCs/>
          <w:u w:val="single"/>
          <w:lang w:val="it-IT"/>
        </w:rPr>
      </w:pPr>
    </w:p>
    <w:p w14:paraId="0FC91D5D" w14:textId="799BBF0E" w:rsidR="00587BA0" w:rsidRPr="00877D3A" w:rsidRDefault="00587BA0" w:rsidP="00B3416D">
      <w:pPr>
        <w:spacing w:line="360" w:lineRule="auto"/>
        <w:jc w:val="both"/>
        <w:rPr>
          <w:rFonts w:ascii="Times New Roman" w:eastAsia="Times New Roman" w:hAnsi="Times New Roman" w:cs="Times New Roman"/>
          <w:b/>
          <w:bCs/>
          <w:u w:val="single"/>
          <w:lang w:val="it-IT"/>
        </w:rPr>
      </w:pPr>
      <w:r w:rsidRPr="00877D3A">
        <w:rPr>
          <w:rFonts w:ascii="Times New Roman" w:eastAsia="Times New Roman" w:hAnsi="Times New Roman" w:cs="Times New Roman"/>
          <w:b/>
          <w:bCs/>
          <w:u w:val="single"/>
          <w:lang w:val="it-IT"/>
        </w:rPr>
        <w:t>Bristol Myers Squibb</w:t>
      </w:r>
    </w:p>
    <w:p w14:paraId="0CCDBE96" w14:textId="07D57732" w:rsidR="00114832" w:rsidRPr="004637DA" w:rsidRDefault="00114832" w:rsidP="004637DA">
      <w:pPr>
        <w:spacing w:line="360" w:lineRule="auto"/>
        <w:ind w:firstLine="567"/>
        <w:jc w:val="both"/>
        <w:rPr>
          <w:rFonts w:ascii="Times New Roman" w:eastAsia="Times New Roman" w:hAnsi="Times New Roman" w:cs="Times New Roman"/>
          <w:lang w:val="it-IT"/>
        </w:rPr>
      </w:pPr>
      <w:r w:rsidRPr="00877D3A">
        <w:rPr>
          <w:rFonts w:ascii="Times New Roman" w:eastAsia="Times New Roman" w:hAnsi="Times New Roman" w:cs="Times New Roman"/>
          <w:lang w:val="it-IT"/>
        </w:rPr>
        <w:t>Bristol</w:t>
      </w:r>
      <w:r w:rsidR="004637DA" w:rsidRPr="00877D3A">
        <w:rPr>
          <w:rFonts w:ascii="Times New Roman" w:eastAsia="Times New Roman" w:hAnsi="Times New Roman" w:cs="Times New Roman"/>
          <w:lang w:val="it-IT"/>
        </w:rPr>
        <w:t xml:space="preserve"> </w:t>
      </w:r>
      <w:r w:rsidRPr="00877D3A">
        <w:rPr>
          <w:rFonts w:ascii="Times New Roman" w:eastAsia="Times New Roman" w:hAnsi="Times New Roman" w:cs="Times New Roman"/>
          <w:lang w:val="it-IT"/>
        </w:rPr>
        <w:t xml:space="preserve">Myers Squibb è un’azienda bio-farmaceutica globale, la cui mission è scoprire, sviluppare e rendere disponibili farmaci innovativi che aiutino i pazienti a combattere gravi malattie. </w:t>
      </w:r>
      <w:r w:rsidR="004637DA" w:rsidRPr="004637DA">
        <w:rPr>
          <w:rFonts w:ascii="Times New Roman" w:eastAsia="Times New Roman" w:hAnsi="Times New Roman" w:cs="Times New Roman"/>
          <w:lang w:val="it-IT"/>
        </w:rPr>
        <w:t>Maggiori informazioni sono disponibili sui siti www.bms.com e www.bms.it o su Linkedin, Twitter, YouTube, Facebook e Instagram.</w:t>
      </w:r>
    </w:p>
    <w:p w14:paraId="47914C1F" w14:textId="0AF4ED0A" w:rsidR="00114832" w:rsidRPr="00877D3A" w:rsidRDefault="00114832" w:rsidP="00B3416D">
      <w:pPr>
        <w:spacing w:line="360" w:lineRule="auto"/>
        <w:ind w:firstLine="720"/>
        <w:jc w:val="both"/>
        <w:rPr>
          <w:rFonts w:ascii="Times New Roman" w:eastAsia="Times New Roman" w:hAnsi="Times New Roman" w:cs="Times New Roman"/>
          <w:lang w:val="it-IT"/>
        </w:rPr>
      </w:pPr>
      <w:r w:rsidRPr="00877D3A">
        <w:rPr>
          <w:rFonts w:ascii="Times New Roman" w:eastAsia="Times New Roman" w:hAnsi="Times New Roman" w:cs="Times New Roman"/>
          <w:lang w:val="it-IT"/>
        </w:rPr>
        <w:t>Celgene e Juno</w:t>
      </w:r>
      <w:r w:rsidR="005F5921" w:rsidRPr="00877D3A">
        <w:rPr>
          <w:rFonts w:ascii="Times New Roman" w:eastAsia="Times New Roman" w:hAnsi="Times New Roman" w:cs="Times New Roman"/>
          <w:lang w:val="it-IT"/>
        </w:rPr>
        <w:t xml:space="preserve"> </w:t>
      </w:r>
      <w:r w:rsidRPr="00877D3A">
        <w:rPr>
          <w:rFonts w:ascii="Times New Roman" w:eastAsia="Times New Roman" w:hAnsi="Times New Roman" w:cs="Times New Roman"/>
          <w:lang w:val="it-IT"/>
        </w:rPr>
        <w:t>Therapeutics sono sussidiari di Bristol</w:t>
      </w:r>
      <w:r w:rsidR="004637DA" w:rsidRPr="00877D3A">
        <w:rPr>
          <w:rFonts w:ascii="Times New Roman" w:eastAsia="Times New Roman" w:hAnsi="Times New Roman" w:cs="Times New Roman"/>
          <w:lang w:val="it-IT"/>
        </w:rPr>
        <w:t xml:space="preserve"> </w:t>
      </w:r>
      <w:r w:rsidRPr="00877D3A">
        <w:rPr>
          <w:rFonts w:ascii="Times New Roman" w:eastAsia="Times New Roman" w:hAnsi="Times New Roman" w:cs="Times New Roman"/>
          <w:lang w:val="it-IT"/>
        </w:rPr>
        <w:t>Myers Squibb, che ne detiene la titolarità. In alcuni Paesi fuori dagli Stati Uniti, secondo le legislazioni locali, Celgene e JunoTherapeutics sono considerate compagnie di Bristol</w:t>
      </w:r>
      <w:r w:rsidR="004637DA" w:rsidRPr="00877D3A">
        <w:rPr>
          <w:rFonts w:ascii="Times New Roman" w:eastAsia="Times New Roman" w:hAnsi="Times New Roman" w:cs="Times New Roman"/>
          <w:lang w:val="it-IT"/>
        </w:rPr>
        <w:t xml:space="preserve"> </w:t>
      </w:r>
      <w:r w:rsidRPr="00877D3A">
        <w:rPr>
          <w:rFonts w:ascii="Times New Roman" w:eastAsia="Times New Roman" w:hAnsi="Times New Roman" w:cs="Times New Roman"/>
          <w:lang w:val="it-IT"/>
        </w:rPr>
        <w:t>Myers Squibb.</w:t>
      </w:r>
    </w:p>
    <w:p w14:paraId="04F44249" w14:textId="7BB302A3" w:rsidR="00B3416D" w:rsidRPr="00877D3A" w:rsidRDefault="00B3416D" w:rsidP="00B3416D">
      <w:pPr>
        <w:spacing w:line="23" w:lineRule="atLeast"/>
        <w:jc w:val="both"/>
        <w:rPr>
          <w:rFonts w:ascii="Times New Roman" w:eastAsia="Times New Roman" w:hAnsi="Times New Roman" w:cs="Times New Roman"/>
          <w:lang w:val="it-IT"/>
        </w:rPr>
      </w:pPr>
    </w:p>
    <w:p w14:paraId="1D792D0A" w14:textId="77777777" w:rsidR="004637DA" w:rsidRPr="00877D3A" w:rsidRDefault="004637DA" w:rsidP="00B3416D">
      <w:pPr>
        <w:spacing w:line="23" w:lineRule="atLeast"/>
        <w:jc w:val="both"/>
        <w:rPr>
          <w:rFonts w:ascii="Times New Roman" w:eastAsia="Times New Roman" w:hAnsi="Times New Roman" w:cs="Times New Roman"/>
          <w:lang w:val="it-IT"/>
        </w:rPr>
      </w:pPr>
    </w:p>
    <w:p w14:paraId="0DD04BD2" w14:textId="77777777" w:rsidR="00B3416D" w:rsidRPr="004637DA" w:rsidRDefault="00B3416D" w:rsidP="00B3416D">
      <w:pPr>
        <w:rPr>
          <w:rFonts w:ascii="Times New Roman" w:eastAsia="Times New Roman" w:hAnsi="Times New Roman" w:cs="Times New Roman"/>
          <w:lang w:val="it-IT"/>
        </w:rPr>
      </w:pPr>
      <w:r w:rsidRPr="004637DA">
        <w:rPr>
          <w:rFonts w:ascii="Times New Roman" w:eastAsia="Times New Roman" w:hAnsi="Times New Roman" w:cs="Times New Roman"/>
          <w:b/>
          <w:bCs/>
          <w:lang w:val="it-IT"/>
        </w:rPr>
        <w:t>Ufficio stampa</w:t>
      </w:r>
      <w:r w:rsidRPr="004637DA">
        <w:rPr>
          <w:rFonts w:ascii="Times New Roman" w:eastAsia="Times New Roman" w:hAnsi="Times New Roman" w:cs="Times New Roman"/>
          <w:lang w:val="it-IT"/>
        </w:rPr>
        <w:br/>
        <w:t>Intermedia</w:t>
      </w:r>
      <w:r w:rsidRPr="004637DA">
        <w:rPr>
          <w:rFonts w:ascii="Times New Roman" w:eastAsia="Times New Roman" w:hAnsi="Times New Roman" w:cs="Times New Roman"/>
          <w:lang w:val="it-IT"/>
        </w:rPr>
        <w:br/>
        <w:t>3351892975 – 335265394</w:t>
      </w:r>
      <w:r w:rsidRPr="004637DA">
        <w:rPr>
          <w:rFonts w:ascii="Times New Roman" w:eastAsia="Times New Roman" w:hAnsi="Times New Roman" w:cs="Times New Roman"/>
          <w:lang w:val="it-IT"/>
        </w:rPr>
        <w:br/>
      </w:r>
      <w:hyperlink r:id="rId11" w:history="1">
        <w:r w:rsidRPr="004637DA">
          <w:rPr>
            <w:rStyle w:val="Collegamentoipertestuale"/>
            <w:rFonts w:ascii="Times New Roman" w:eastAsia="Times New Roman" w:hAnsi="Times New Roman" w:cs="Times New Roman"/>
            <w:color w:val="auto"/>
            <w:lang w:val="it-IT"/>
          </w:rPr>
          <w:t>intermedia@intermedianews.it</w:t>
        </w:r>
      </w:hyperlink>
    </w:p>
    <w:p w14:paraId="6E1DB30B" w14:textId="77777777" w:rsidR="00B3416D" w:rsidRPr="00877D3A" w:rsidRDefault="00B3416D" w:rsidP="00B3416D">
      <w:pPr>
        <w:spacing w:line="23" w:lineRule="atLeast"/>
        <w:jc w:val="both"/>
        <w:rPr>
          <w:rFonts w:ascii="Times New Roman" w:eastAsia="Times New Roman" w:hAnsi="Times New Roman" w:cs="Times New Roman"/>
          <w:color w:val="FF0000"/>
          <w:lang w:val="it-IT"/>
        </w:rPr>
      </w:pPr>
    </w:p>
    <w:p w14:paraId="0A8A09BE" w14:textId="77777777" w:rsidR="00587BA0" w:rsidRPr="00877D3A" w:rsidRDefault="00587BA0" w:rsidP="00B3416D">
      <w:pPr>
        <w:spacing w:line="360" w:lineRule="auto"/>
        <w:ind w:right="115"/>
        <w:jc w:val="both"/>
        <w:rPr>
          <w:rFonts w:ascii="Times New Roman" w:hAnsi="Times New Roman" w:cs="Times New Roman"/>
          <w:bCs/>
          <w:lang w:val="it-IT"/>
        </w:rPr>
      </w:pPr>
    </w:p>
    <w:p w14:paraId="6CA4656F" w14:textId="77777777" w:rsidR="00587BA0" w:rsidRPr="00877D3A" w:rsidRDefault="00587BA0" w:rsidP="00587BA0">
      <w:pPr>
        <w:spacing w:line="360" w:lineRule="auto"/>
        <w:ind w:right="115"/>
        <w:rPr>
          <w:rFonts w:ascii="Trebuchet MS" w:hAnsi="Trebuchet MS"/>
          <w:bCs/>
          <w:sz w:val="22"/>
          <w:szCs w:val="22"/>
          <w:lang w:val="it-IT"/>
        </w:rPr>
      </w:pPr>
    </w:p>
    <w:p w14:paraId="79D441FD" w14:textId="77777777" w:rsidR="00587BA0" w:rsidRPr="00877D3A" w:rsidRDefault="00587BA0" w:rsidP="00712DBD">
      <w:pPr>
        <w:spacing w:line="360" w:lineRule="auto"/>
        <w:ind w:right="115"/>
        <w:rPr>
          <w:rFonts w:ascii="Trebuchet MS" w:hAnsi="Trebuchet MS"/>
          <w:bCs/>
          <w:sz w:val="22"/>
          <w:szCs w:val="22"/>
          <w:lang w:val="it-IT"/>
        </w:rPr>
      </w:pPr>
    </w:p>
    <w:sectPr w:rsidR="00587BA0" w:rsidRPr="00877D3A" w:rsidSect="00B04398">
      <w:headerReference w:type="first" r:id="rId12"/>
      <w:pgSz w:w="12240" w:h="15840"/>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DD86" w14:textId="77777777" w:rsidR="000A33F5" w:rsidRDefault="000A33F5" w:rsidP="003B3423">
      <w:r>
        <w:separator/>
      </w:r>
    </w:p>
  </w:endnote>
  <w:endnote w:type="continuationSeparator" w:id="0">
    <w:p w14:paraId="200360EC" w14:textId="77777777" w:rsidR="000A33F5" w:rsidRDefault="000A33F5" w:rsidP="003B3423">
      <w:r>
        <w:continuationSeparator/>
      </w:r>
    </w:p>
  </w:endnote>
  <w:endnote w:type="continuationNotice" w:id="1">
    <w:p w14:paraId="62EFE43D" w14:textId="77777777" w:rsidR="000A33F5" w:rsidRDefault="000A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E550D" w14:textId="77777777" w:rsidR="000A33F5" w:rsidRDefault="000A33F5" w:rsidP="003B3423">
      <w:r>
        <w:separator/>
      </w:r>
    </w:p>
  </w:footnote>
  <w:footnote w:type="continuationSeparator" w:id="0">
    <w:p w14:paraId="771743FD" w14:textId="77777777" w:rsidR="000A33F5" w:rsidRDefault="000A33F5" w:rsidP="003B3423">
      <w:r>
        <w:continuationSeparator/>
      </w:r>
    </w:p>
  </w:footnote>
  <w:footnote w:type="continuationNotice" w:id="1">
    <w:p w14:paraId="330FE96D" w14:textId="77777777" w:rsidR="000A33F5" w:rsidRDefault="000A3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6D1C" w14:textId="7797E534" w:rsidR="00B04398" w:rsidRDefault="00B04398">
    <w:pPr>
      <w:pStyle w:val="Intestazione"/>
    </w:pPr>
    <w:r w:rsidRPr="00B33BD6">
      <w:rPr>
        <w:rFonts w:ascii="Trebuchet MS" w:hAnsi="Trebuchet MS"/>
        <w:noProof/>
        <w:sz w:val="22"/>
        <w:szCs w:val="22"/>
        <w:lang w:val="it-IT" w:eastAsia="it-IT"/>
      </w:rPr>
      <w:drawing>
        <wp:inline distT="0" distB="0" distL="0" distR="0" wp14:anchorId="1940F56D" wp14:editId="6C14220C">
          <wp:extent cx="2642738" cy="667512"/>
          <wp:effectExtent l="0" t="0" r="0" b="0"/>
          <wp:docPr id="5"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black">
                  <a:xfrm>
                    <a:off x="0" y="0"/>
                    <a:ext cx="2642738" cy="6675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43919"/>
    <w:multiLevelType w:val="hybridMultilevel"/>
    <w:tmpl w:val="5470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7331B2"/>
    <w:multiLevelType w:val="hybridMultilevel"/>
    <w:tmpl w:val="6B3E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3976"/>
    <w:multiLevelType w:val="hybridMultilevel"/>
    <w:tmpl w:val="57B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6676E"/>
    <w:multiLevelType w:val="hybridMultilevel"/>
    <w:tmpl w:val="758A9CC6"/>
    <w:lvl w:ilvl="0" w:tplc="BE3ED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23"/>
    <w:rsid w:val="000057DC"/>
    <w:rsid w:val="00012C02"/>
    <w:rsid w:val="00026B0D"/>
    <w:rsid w:val="00030272"/>
    <w:rsid w:val="00064B02"/>
    <w:rsid w:val="00077418"/>
    <w:rsid w:val="0008197A"/>
    <w:rsid w:val="000873AD"/>
    <w:rsid w:val="000879AC"/>
    <w:rsid w:val="000937A4"/>
    <w:rsid w:val="00095D68"/>
    <w:rsid w:val="000A33F5"/>
    <w:rsid w:val="000A5A1D"/>
    <w:rsid w:val="000A75C5"/>
    <w:rsid w:val="000A7B53"/>
    <w:rsid w:val="000B5826"/>
    <w:rsid w:val="000C5DC8"/>
    <w:rsid w:val="000C792A"/>
    <w:rsid w:val="000D3F32"/>
    <w:rsid w:val="000D4E77"/>
    <w:rsid w:val="000D5981"/>
    <w:rsid w:val="000E38A9"/>
    <w:rsid w:val="000E55B9"/>
    <w:rsid w:val="000E6A5E"/>
    <w:rsid w:val="00107B8C"/>
    <w:rsid w:val="00110030"/>
    <w:rsid w:val="00114832"/>
    <w:rsid w:val="00114EF9"/>
    <w:rsid w:val="00123792"/>
    <w:rsid w:val="00124967"/>
    <w:rsid w:val="001269A2"/>
    <w:rsid w:val="00146DB9"/>
    <w:rsid w:val="001513CC"/>
    <w:rsid w:val="00163304"/>
    <w:rsid w:val="00165C37"/>
    <w:rsid w:val="001663C1"/>
    <w:rsid w:val="001675A7"/>
    <w:rsid w:val="00175555"/>
    <w:rsid w:val="00180770"/>
    <w:rsid w:val="00182066"/>
    <w:rsid w:val="00191AAE"/>
    <w:rsid w:val="001A66D3"/>
    <w:rsid w:val="001C167E"/>
    <w:rsid w:val="001C2E64"/>
    <w:rsid w:val="001C4626"/>
    <w:rsid w:val="001C4E0A"/>
    <w:rsid w:val="001D5339"/>
    <w:rsid w:val="001D6D0C"/>
    <w:rsid w:val="001E2B73"/>
    <w:rsid w:val="001E3347"/>
    <w:rsid w:val="001F48CE"/>
    <w:rsid w:val="002033D0"/>
    <w:rsid w:val="00210BE4"/>
    <w:rsid w:val="00210C82"/>
    <w:rsid w:val="002205C7"/>
    <w:rsid w:val="00223CAE"/>
    <w:rsid w:val="00227568"/>
    <w:rsid w:val="00234A10"/>
    <w:rsid w:val="00235D53"/>
    <w:rsid w:val="0025381E"/>
    <w:rsid w:val="0026207D"/>
    <w:rsid w:val="00263498"/>
    <w:rsid w:val="002662C4"/>
    <w:rsid w:val="0027294F"/>
    <w:rsid w:val="00273522"/>
    <w:rsid w:val="00276CDD"/>
    <w:rsid w:val="002817A2"/>
    <w:rsid w:val="0028267A"/>
    <w:rsid w:val="002915A6"/>
    <w:rsid w:val="0029452E"/>
    <w:rsid w:val="002A35BD"/>
    <w:rsid w:val="002C6DF5"/>
    <w:rsid w:val="002D1B84"/>
    <w:rsid w:val="002E0CE4"/>
    <w:rsid w:val="002E3E16"/>
    <w:rsid w:val="002F0D02"/>
    <w:rsid w:val="002F6CDE"/>
    <w:rsid w:val="00305BBC"/>
    <w:rsid w:val="00312A40"/>
    <w:rsid w:val="00330D39"/>
    <w:rsid w:val="00330D52"/>
    <w:rsid w:val="00334AB8"/>
    <w:rsid w:val="00377E40"/>
    <w:rsid w:val="003A03F5"/>
    <w:rsid w:val="003B3423"/>
    <w:rsid w:val="003C1920"/>
    <w:rsid w:val="003E6540"/>
    <w:rsid w:val="003F5016"/>
    <w:rsid w:val="00403F98"/>
    <w:rsid w:val="004047F5"/>
    <w:rsid w:val="00414003"/>
    <w:rsid w:val="00424393"/>
    <w:rsid w:val="00430A7B"/>
    <w:rsid w:val="004364A7"/>
    <w:rsid w:val="004432F2"/>
    <w:rsid w:val="00443A0A"/>
    <w:rsid w:val="004637DA"/>
    <w:rsid w:val="004668E1"/>
    <w:rsid w:val="004669A1"/>
    <w:rsid w:val="00470EC3"/>
    <w:rsid w:val="004A44F8"/>
    <w:rsid w:val="004A5EA1"/>
    <w:rsid w:val="004A741B"/>
    <w:rsid w:val="004D047D"/>
    <w:rsid w:val="004F619C"/>
    <w:rsid w:val="004F76BC"/>
    <w:rsid w:val="0050622E"/>
    <w:rsid w:val="00513479"/>
    <w:rsid w:val="00523501"/>
    <w:rsid w:val="005301B0"/>
    <w:rsid w:val="005525B0"/>
    <w:rsid w:val="00555E10"/>
    <w:rsid w:val="00557A9D"/>
    <w:rsid w:val="0056268E"/>
    <w:rsid w:val="00562E41"/>
    <w:rsid w:val="00565515"/>
    <w:rsid w:val="0056770A"/>
    <w:rsid w:val="00574162"/>
    <w:rsid w:val="0057581F"/>
    <w:rsid w:val="00576F08"/>
    <w:rsid w:val="005815B2"/>
    <w:rsid w:val="00587BA0"/>
    <w:rsid w:val="005948A6"/>
    <w:rsid w:val="005A3538"/>
    <w:rsid w:val="005A4758"/>
    <w:rsid w:val="005A702A"/>
    <w:rsid w:val="005B317E"/>
    <w:rsid w:val="005B4052"/>
    <w:rsid w:val="005C0067"/>
    <w:rsid w:val="005C7B99"/>
    <w:rsid w:val="005D2269"/>
    <w:rsid w:val="005D7534"/>
    <w:rsid w:val="005E0E62"/>
    <w:rsid w:val="005E3767"/>
    <w:rsid w:val="005F2398"/>
    <w:rsid w:val="005F4F23"/>
    <w:rsid w:val="005F5921"/>
    <w:rsid w:val="005F79B8"/>
    <w:rsid w:val="00602D25"/>
    <w:rsid w:val="00605AD6"/>
    <w:rsid w:val="00626DE3"/>
    <w:rsid w:val="00642F9E"/>
    <w:rsid w:val="00653548"/>
    <w:rsid w:val="0065527A"/>
    <w:rsid w:val="0066493A"/>
    <w:rsid w:val="00671BB7"/>
    <w:rsid w:val="00672A39"/>
    <w:rsid w:val="00672E79"/>
    <w:rsid w:val="00674301"/>
    <w:rsid w:val="006823BE"/>
    <w:rsid w:val="006841F4"/>
    <w:rsid w:val="00685B86"/>
    <w:rsid w:val="00691B78"/>
    <w:rsid w:val="0069510D"/>
    <w:rsid w:val="006A543D"/>
    <w:rsid w:val="006A6A36"/>
    <w:rsid w:val="006B41FF"/>
    <w:rsid w:val="006C1F76"/>
    <w:rsid w:val="006C31CC"/>
    <w:rsid w:val="006D1D0E"/>
    <w:rsid w:val="006E1A82"/>
    <w:rsid w:val="006F04C5"/>
    <w:rsid w:val="006F4B5D"/>
    <w:rsid w:val="006F7A93"/>
    <w:rsid w:val="0070182A"/>
    <w:rsid w:val="007048FF"/>
    <w:rsid w:val="00705D01"/>
    <w:rsid w:val="00712DBD"/>
    <w:rsid w:val="00724446"/>
    <w:rsid w:val="00727BE3"/>
    <w:rsid w:val="007403F6"/>
    <w:rsid w:val="007439DE"/>
    <w:rsid w:val="007669C0"/>
    <w:rsid w:val="0078519E"/>
    <w:rsid w:val="00785FA7"/>
    <w:rsid w:val="007A119E"/>
    <w:rsid w:val="007A4E69"/>
    <w:rsid w:val="007A5AC1"/>
    <w:rsid w:val="007C75CD"/>
    <w:rsid w:val="007D0292"/>
    <w:rsid w:val="007F00B4"/>
    <w:rsid w:val="007F6C77"/>
    <w:rsid w:val="00800C72"/>
    <w:rsid w:val="00804D48"/>
    <w:rsid w:val="00806CD7"/>
    <w:rsid w:val="008070FD"/>
    <w:rsid w:val="00815B13"/>
    <w:rsid w:val="00826CFE"/>
    <w:rsid w:val="00827936"/>
    <w:rsid w:val="00833D5F"/>
    <w:rsid w:val="008454AF"/>
    <w:rsid w:val="00850436"/>
    <w:rsid w:val="00852A02"/>
    <w:rsid w:val="0085443C"/>
    <w:rsid w:val="00865024"/>
    <w:rsid w:val="00873B2B"/>
    <w:rsid w:val="00877D3A"/>
    <w:rsid w:val="0088302A"/>
    <w:rsid w:val="00884F1C"/>
    <w:rsid w:val="008914FE"/>
    <w:rsid w:val="008924BE"/>
    <w:rsid w:val="00894FF3"/>
    <w:rsid w:val="008B46E2"/>
    <w:rsid w:val="008B4A3E"/>
    <w:rsid w:val="008C548F"/>
    <w:rsid w:val="008D37D3"/>
    <w:rsid w:val="008D4842"/>
    <w:rsid w:val="008E0476"/>
    <w:rsid w:val="008E2E7F"/>
    <w:rsid w:val="008E31E4"/>
    <w:rsid w:val="008E45F3"/>
    <w:rsid w:val="008E6EF5"/>
    <w:rsid w:val="009032B5"/>
    <w:rsid w:val="0091070D"/>
    <w:rsid w:val="009116AF"/>
    <w:rsid w:val="00912A42"/>
    <w:rsid w:val="00914F37"/>
    <w:rsid w:val="00920404"/>
    <w:rsid w:val="00932033"/>
    <w:rsid w:val="00935732"/>
    <w:rsid w:val="00936239"/>
    <w:rsid w:val="009474D9"/>
    <w:rsid w:val="0095432D"/>
    <w:rsid w:val="009558B9"/>
    <w:rsid w:val="009705BF"/>
    <w:rsid w:val="009716A0"/>
    <w:rsid w:val="0097229B"/>
    <w:rsid w:val="00996805"/>
    <w:rsid w:val="009A3BF3"/>
    <w:rsid w:val="009A6F9C"/>
    <w:rsid w:val="009B12E5"/>
    <w:rsid w:val="009B565F"/>
    <w:rsid w:val="009C2AE1"/>
    <w:rsid w:val="009E7881"/>
    <w:rsid w:val="009F0EEB"/>
    <w:rsid w:val="009F1308"/>
    <w:rsid w:val="009F5D5B"/>
    <w:rsid w:val="00A02A71"/>
    <w:rsid w:val="00A11201"/>
    <w:rsid w:val="00A11A63"/>
    <w:rsid w:val="00A15796"/>
    <w:rsid w:val="00A21211"/>
    <w:rsid w:val="00A21FD3"/>
    <w:rsid w:val="00A27AAB"/>
    <w:rsid w:val="00A3042E"/>
    <w:rsid w:val="00A41E6F"/>
    <w:rsid w:val="00A56B09"/>
    <w:rsid w:val="00A61041"/>
    <w:rsid w:val="00A6475E"/>
    <w:rsid w:val="00A73BDB"/>
    <w:rsid w:val="00A76F11"/>
    <w:rsid w:val="00A85193"/>
    <w:rsid w:val="00A9183E"/>
    <w:rsid w:val="00A96972"/>
    <w:rsid w:val="00AA2391"/>
    <w:rsid w:val="00AB608E"/>
    <w:rsid w:val="00AC1532"/>
    <w:rsid w:val="00AD4229"/>
    <w:rsid w:val="00AE1D53"/>
    <w:rsid w:val="00AE7AFB"/>
    <w:rsid w:val="00AF564E"/>
    <w:rsid w:val="00B01490"/>
    <w:rsid w:val="00B04398"/>
    <w:rsid w:val="00B064C5"/>
    <w:rsid w:val="00B0651F"/>
    <w:rsid w:val="00B25B02"/>
    <w:rsid w:val="00B33BD6"/>
    <w:rsid w:val="00B3416D"/>
    <w:rsid w:val="00B36710"/>
    <w:rsid w:val="00B36FAC"/>
    <w:rsid w:val="00B47063"/>
    <w:rsid w:val="00B52D36"/>
    <w:rsid w:val="00B617FC"/>
    <w:rsid w:val="00B70222"/>
    <w:rsid w:val="00B75C9D"/>
    <w:rsid w:val="00BA18D4"/>
    <w:rsid w:val="00BA73AE"/>
    <w:rsid w:val="00BA7761"/>
    <w:rsid w:val="00BB7656"/>
    <w:rsid w:val="00BC69A1"/>
    <w:rsid w:val="00BD44F9"/>
    <w:rsid w:val="00BD527F"/>
    <w:rsid w:val="00BE5981"/>
    <w:rsid w:val="00BE70F9"/>
    <w:rsid w:val="00BF4796"/>
    <w:rsid w:val="00C01C61"/>
    <w:rsid w:val="00C135F2"/>
    <w:rsid w:val="00C20645"/>
    <w:rsid w:val="00C230EE"/>
    <w:rsid w:val="00C356AC"/>
    <w:rsid w:val="00C409E9"/>
    <w:rsid w:val="00C40DE6"/>
    <w:rsid w:val="00C56532"/>
    <w:rsid w:val="00C61694"/>
    <w:rsid w:val="00C6180C"/>
    <w:rsid w:val="00C66D2F"/>
    <w:rsid w:val="00C72DC2"/>
    <w:rsid w:val="00C85863"/>
    <w:rsid w:val="00C93B7D"/>
    <w:rsid w:val="00CA0350"/>
    <w:rsid w:val="00CA077F"/>
    <w:rsid w:val="00CA0E23"/>
    <w:rsid w:val="00CA57B7"/>
    <w:rsid w:val="00CD27E0"/>
    <w:rsid w:val="00CD58B6"/>
    <w:rsid w:val="00CE2CE1"/>
    <w:rsid w:val="00CE35B5"/>
    <w:rsid w:val="00CE6177"/>
    <w:rsid w:val="00CF6CC9"/>
    <w:rsid w:val="00D0318E"/>
    <w:rsid w:val="00D13470"/>
    <w:rsid w:val="00D136A1"/>
    <w:rsid w:val="00D16267"/>
    <w:rsid w:val="00D3191A"/>
    <w:rsid w:val="00D34242"/>
    <w:rsid w:val="00D373AE"/>
    <w:rsid w:val="00D416B3"/>
    <w:rsid w:val="00D462C3"/>
    <w:rsid w:val="00D46594"/>
    <w:rsid w:val="00D65163"/>
    <w:rsid w:val="00D6549E"/>
    <w:rsid w:val="00D707FF"/>
    <w:rsid w:val="00D84D5C"/>
    <w:rsid w:val="00D8587C"/>
    <w:rsid w:val="00D869D7"/>
    <w:rsid w:val="00D86B74"/>
    <w:rsid w:val="00D9349D"/>
    <w:rsid w:val="00D94E01"/>
    <w:rsid w:val="00DA3890"/>
    <w:rsid w:val="00DC2DF7"/>
    <w:rsid w:val="00DD6A88"/>
    <w:rsid w:val="00DE5E28"/>
    <w:rsid w:val="00DF08D0"/>
    <w:rsid w:val="00DF60C3"/>
    <w:rsid w:val="00DF738A"/>
    <w:rsid w:val="00E01479"/>
    <w:rsid w:val="00E02A0C"/>
    <w:rsid w:val="00E1611C"/>
    <w:rsid w:val="00E22796"/>
    <w:rsid w:val="00E62C62"/>
    <w:rsid w:val="00E63B18"/>
    <w:rsid w:val="00E6537F"/>
    <w:rsid w:val="00E67EA1"/>
    <w:rsid w:val="00E748EE"/>
    <w:rsid w:val="00E84417"/>
    <w:rsid w:val="00E85AC8"/>
    <w:rsid w:val="00E869B6"/>
    <w:rsid w:val="00E92E38"/>
    <w:rsid w:val="00E969A0"/>
    <w:rsid w:val="00EA0CCC"/>
    <w:rsid w:val="00EA1C6C"/>
    <w:rsid w:val="00EA3E6E"/>
    <w:rsid w:val="00EA449C"/>
    <w:rsid w:val="00EA54BF"/>
    <w:rsid w:val="00EB063F"/>
    <w:rsid w:val="00EB3D8C"/>
    <w:rsid w:val="00EC1D29"/>
    <w:rsid w:val="00EC1E59"/>
    <w:rsid w:val="00EC5791"/>
    <w:rsid w:val="00EE200B"/>
    <w:rsid w:val="00F00677"/>
    <w:rsid w:val="00F30669"/>
    <w:rsid w:val="00F313ED"/>
    <w:rsid w:val="00F33508"/>
    <w:rsid w:val="00F33E00"/>
    <w:rsid w:val="00F43750"/>
    <w:rsid w:val="00F57737"/>
    <w:rsid w:val="00F640ED"/>
    <w:rsid w:val="00F71B12"/>
    <w:rsid w:val="00F72B79"/>
    <w:rsid w:val="00F81356"/>
    <w:rsid w:val="00F82D66"/>
    <w:rsid w:val="00F82D96"/>
    <w:rsid w:val="00F92A61"/>
    <w:rsid w:val="00FA0ED8"/>
    <w:rsid w:val="00FB0F8E"/>
    <w:rsid w:val="00FC01AC"/>
    <w:rsid w:val="00FC511D"/>
    <w:rsid w:val="00FC6C0F"/>
    <w:rsid w:val="00FE0961"/>
    <w:rsid w:val="00FE0B2E"/>
    <w:rsid w:val="00FE1266"/>
    <w:rsid w:val="00FE5E4F"/>
    <w:rsid w:val="00FF247E"/>
    <w:rsid w:val="00FF3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D204F"/>
  <w15:chartTrackingRefBased/>
  <w15:docId w15:val="{5F1298E4-5517-49C6-B9C7-EB846D82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423"/>
    <w:pPr>
      <w:spacing w:after="0" w:line="240" w:lineRule="auto"/>
    </w:pPr>
    <w:rPr>
      <w:rFonts w:eastAsiaTheme="minorHAnsi"/>
      <w:sz w:val="24"/>
      <w:szCs w:val="24"/>
      <w:lang w:eastAsia="en-US"/>
    </w:rPr>
  </w:style>
  <w:style w:type="paragraph" w:styleId="Titolo1">
    <w:name w:val="heading 1"/>
    <w:basedOn w:val="Normale"/>
    <w:next w:val="Normale"/>
    <w:link w:val="Titolo1Carattere"/>
    <w:uiPriority w:val="9"/>
    <w:qFormat/>
    <w:rsid w:val="004047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3423"/>
    <w:pPr>
      <w:tabs>
        <w:tab w:val="center" w:pos="4680"/>
        <w:tab w:val="right" w:pos="9360"/>
      </w:tabs>
    </w:pPr>
  </w:style>
  <w:style w:type="character" w:customStyle="1" w:styleId="IntestazioneCarattere">
    <w:name w:val="Intestazione Carattere"/>
    <w:basedOn w:val="Carpredefinitoparagrafo"/>
    <w:link w:val="Intestazione"/>
    <w:uiPriority w:val="99"/>
    <w:rsid w:val="003B3423"/>
  </w:style>
  <w:style w:type="paragraph" w:styleId="Pidipagina">
    <w:name w:val="footer"/>
    <w:basedOn w:val="Normale"/>
    <w:link w:val="PidipaginaCarattere"/>
    <w:uiPriority w:val="99"/>
    <w:unhideWhenUsed/>
    <w:rsid w:val="003B3423"/>
    <w:pPr>
      <w:tabs>
        <w:tab w:val="center" w:pos="4680"/>
        <w:tab w:val="right" w:pos="9360"/>
      </w:tabs>
    </w:pPr>
  </w:style>
  <w:style w:type="character" w:customStyle="1" w:styleId="PidipaginaCarattere">
    <w:name w:val="Piè di pagina Carattere"/>
    <w:basedOn w:val="Carpredefinitoparagrafo"/>
    <w:link w:val="Pidipagina"/>
    <w:uiPriority w:val="99"/>
    <w:rsid w:val="003B3423"/>
  </w:style>
  <w:style w:type="table" w:styleId="Grigliatabella">
    <w:name w:val="Table Grid"/>
    <w:basedOn w:val="Tabellanormale"/>
    <w:uiPriority w:val="39"/>
    <w:rsid w:val="003B342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s,Odstavec se seznamem1,Numbered List,1 List Paragraph,Summary Bullets,Bullet List,FooterText,Footer Setting,List Paragraph1,numbered,Paragraphe de liste1,Bulletr List Paragraph,列出段落1,List Paragraph2,List Paragraph21,列出段落,Dot pt"/>
    <w:basedOn w:val="Normale"/>
    <w:link w:val="ParagrafoelencoCarattere"/>
    <w:uiPriority w:val="34"/>
    <w:qFormat/>
    <w:rsid w:val="00AE7AFB"/>
    <w:pPr>
      <w:ind w:left="720"/>
      <w:contextualSpacing/>
    </w:pPr>
  </w:style>
  <w:style w:type="character" w:styleId="Collegamentoipertestuale">
    <w:name w:val="Hyperlink"/>
    <w:basedOn w:val="Carpredefinitoparagrafo"/>
    <w:uiPriority w:val="99"/>
    <w:unhideWhenUsed/>
    <w:rsid w:val="00712DBD"/>
    <w:rPr>
      <w:color w:val="0563C1" w:themeColor="hyperlink"/>
      <w:u w:val="single"/>
    </w:rPr>
  </w:style>
  <w:style w:type="character" w:customStyle="1" w:styleId="UnresolvedMention1">
    <w:name w:val="Unresolved Mention1"/>
    <w:basedOn w:val="Carpredefinitoparagrafo"/>
    <w:uiPriority w:val="99"/>
    <w:semiHidden/>
    <w:unhideWhenUsed/>
    <w:rsid w:val="00712DBD"/>
    <w:rPr>
      <w:color w:val="605E5C"/>
      <w:shd w:val="clear" w:color="auto" w:fill="E1DFDD"/>
    </w:rPr>
  </w:style>
  <w:style w:type="character" w:styleId="Rimandocommento">
    <w:name w:val="annotation reference"/>
    <w:basedOn w:val="Carpredefinitoparagrafo"/>
    <w:uiPriority w:val="99"/>
    <w:semiHidden/>
    <w:unhideWhenUsed/>
    <w:rsid w:val="00587BA0"/>
    <w:rPr>
      <w:sz w:val="16"/>
      <w:szCs w:val="16"/>
    </w:rPr>
  </w:style>
  <w:style w:type="paragraph" w:styleId="Testocommento">
    <w:name w:val="annotation text"/>
    <w:basedOn w:val="Normale"/>
    <w:link w:val="TestocommentoCarattere"/>
    <w:uiPriority w:val="99"/>
    <w:semiHidden/>
    <w:unhideWhenUsed/>
    <w:rsid w:val="00587BA0"/>
    <w:rPr>
      <w:sz w:val="20"/>
      <w:szCs w:val="20"/>
    </w:rPr>
  </w:style>
  <w:style w:type="character" w:customStyle="1" w:styleId="TestocommentoCarattere">
    <w:name w:val="Testo commento Carattere"/>
    <w:basedOn w:val="Carpredefinitoparagrafo"/>
    <w:link w:val="Testocommento"/>
    <w:uiPriority w:val="99"/>
    <w:semiHidden/>
    <w:rsid w:val="00587BA0"/>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87BA0"/>
    <w:rPr>
      <w:b/>
      <w:bCs/>
    </w:rPr>
  </w:style>
  <w:style w:type="character" w:customStyle="1" w:styleId="SoggettocommentoCarattere">
    <w:name w:val="Soggetto commento Carattere"/>
    <w:basedOn w:val="TestocommentoCarattere"/>
    <w:link w:val="Soggettocommento"/>
    <w:uiPriority w:val="99"/>
    <w:semiHidden/>
    <w:rsid w:val="00587BA0"/>
    <w:rPr>
      <w:rFonts w:eastAsiaTheme="minorHAnsi"/>
      <w:b/>
      <w:bCs/>
      <w:sz w:val="20"/>
      <w:szCs w:val="20"/>
      <w:lang w:eastAsia="en-US"/>
    </w:rPr>
  </w:style>
  <w:style w:type="paragraph" w:styleId="Testofumetto">
    <w:name w:val="Balloon Text"/>
    <w:basedOn w:val="Normale"/>
    <w:link w:val="TestofumettoCarattere"/>
    <w:uiPriority w:val="99"/>
    <w:semiHidden/>
    <w:unhideWhenUsed/>
    <w:rsid w:val="00587B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7BA0"/>
    <w:rPr>
      <w:rFonts w:ascii="Segoe UI" w:eastAsiaTheme="minorHAnsi" w:hAnsi="Segoe UI" w:cs="Segoe UI"/>
      <w:sz w:val="18"/>
      <w:szCs w:val="18"/>
      <w:lang w:eastAsia="en-US"/>
    </w:rPr>
  </w:style>
  <w:style w:type="character" w:customStyle="1" w:styleId="Titolo1Carattere">
    <w:name w:val="Titolo 1 Carattere"/>
    <w:basedOn w:val="Carpredefinitoparagrafo"/>
    <w:link w:val="Titolo1"/>
    <w:uiPriority w:val="9"/>
    <w:rsid w:val="004047F5"/>
    <w:rPr>
      <w:rFonts w:asciiTheme="majorHAnsi" w:eastAsiaTheme="majorEastAsia" w:hAnsiTheme="majorHAnsi" w:cstheme="majorBidi"/>
      <w:color w:val="2F5496" w:themeColor="accent1" w:themeShade="BF"/>
      <w:sz w:val="32"/>
      <w:szCs w:val="32"/>
      <w:lang w:eastAsia="en-US"/>
    </w:rPr>
  </w:style>
  <w:style w:type="paragraph" w:styleId="NormaleWeb">
    <w:name w:val="Normal (Web)"/>
    <w:basedOn w:val="Normale"/>
    <w:uiPriority w:val="99"/>
    <w:semiHidden/>
    <w:unhideWhenUsed/>
    <w:rsid w:val="004047F5"/>
    <w:rPr>
      <w:rFonts w:ascii="Times New Roman" w:hAnsi="Times New Roman" w:cs="Times New Roman"/>
    </w:rPr>
  </w:style>
  <w:style w:type="paragraph" w:styleId="Revisione">
    <w:name w:val="Revision"/>
    <w:hidden/>
    <w:uiPriority w:val="99"/>
    <w:semiHidden/>
    <w:rsid w:val="009A3BF3"/>
    <w:pPr>
      <w:spacing w:after="0" w:line="240" w:lineRule="auto"/>
    </w:pPr>
    <w:rPr>
      <w:rFonts w:eastAsiaTheme="minorHAnsi"/>
      <w:sz w:val="24"/>
      <w:szCs w:val="24"/>
      <w:lang w:eastAsia="en-US"/>
    </w:rPr>
  </w:style>
  <w:style w:type="character" w:customStyle="1" w:styleId="ParagrafoelencoCarattere">
    <w:name w:val="Paragrafo elenco Carattere"/>
    <w:aliases w:val="Bullets Carattere,Odstavec se seznamem1 Carattere,Numbered List Carattere,1 List Paragraph Carattere,Summary Bullets Carattere,Bullet List Carattere,FooterText Carattere,Footer Setting Carattere,List Paragraph1 Carattere"/>
    <w:link w:val="Paragrafoelenco"/>
    <w:uiPriority w:val="34"/>
    <w:locked/>
    <w:rsid w:val="00330D52"/>
    <w:rPr>
      <w:rFonts w:eastAsiaTheme="minorHAnsi"/>
      <w:sz w:val="24"/>
      <w:szCs w:val="24"/>
      <w:lang w:eastAsia="en-US"/>
    </w:rPr>
  </w:style>
  <w:style w:type="character" w:customStyle="1" w:styleId="p1">
    <w:name w:val="p1"/>
    <w:basedOn w:val="Carpredefinitoparagrafo"/>
    <w:rsid w:val="00B33BD6"/>
  </w:style>
  <w:style w:type="character" w:customStyle="1" w:styleId="UnresolvedMention2">
    <w:name w:val="Unresolved Mention2"/>
    <w:basedOn w:val="Carpredefinitoparagrafo"/>
    <w:uiPriority w:val="99"/>
    <w:semiHidden/>
    <w:unhideWhenUsed/>
    <w:rsid w:val="00B33BD6"/>
    <w:rPr>
      <w:color w:val="605E5C"/>
      <w:shd w:val="clear" w:color="auto" w:fill="E1DFDD"/>
    </w:rPr>
  </w:style>
  <w:style w:type="character" w:customStyle="1" w:styleId="bwuline">
    <w:name w:val="bwuline"/>
    <w:basedOn w:val="Carpredefinitoparagrafo"/>
    <w:rsid w:val="00F7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7434">
      <w:bodyDiv w:val="1"/>
      <w:marLeft w:val="0"/>
      <w:marRight w:val="0"/>
      <w:marTop w:val="0"/>
      <w:marBottom w:val="0"/>
      <w:divBdr>
        <w:top w:val="none" w:sz="0" w:space="0" w:color="auto"/>
        <w:left w:val="none" w:sz="0" w:space="0" w:color="auto"/>
        <w:bottom w:val="none" w:sz="0" w:space="0" w:color="auto"/>
        <w:right w:val="none" w:sz="0" w:space="0" w:color="auto"/>
      </w:divBdr>
    </w:div>
    <w:div w:id="708383883">
      <w:bodyDiv w:val="1"/>
      <w:marLeft w:val="0"/>
      <w:marRight w:val="0"/>
      <w:marTop w:val="0"/>
      <w:marBottom w:val="0"/>
      <w:divBdr>
        <w:top w:val="none" w:sz="0" w:space="0" w:color="auto"/>
        <w:left w:val="none" w:sz="0" w:space="0" w:color="auto"/>
        <w:bottom w:val="none" w:sz="0" w:space="0" w:color="auto"/>
        <w:right w:val="none" w:sz="0" w:space="0" w:color="auto"/>
      </w:divBdr>
    </w:div>
    <w:div w:id="980305530">
      <w:bodyDiv w:val="1"/>
      <w:marLeft w:val="0"/>
      <w:marRight w:val="0"/>
      <w:marTop w:val="0"/>
      <w:marBottom w:val="0"/>
      <w:divBdr>
        <w:top w:val="none" w:sz="0" w:space="0" w:color="auto"/>
        <w:left w:val="none" w:sz="0" w:space="0" w:color="auto"/>
        <w:bottom w:val="none" w:sz="0" w:space="0" w:color="auto"/>
        <w:right w:val="none" w:sz="0" w:space="0" w:color="auto"/>
      </w:divBdr>
    </w:div>
    <w:div w:id="1250772340">
      <w:bodyDiv w:val="1"/>
      <w:marLeft w:val="0"/>
      <w:marRight w:val="0"/>
      <w:marTop w:val="0"/>
      <w:marBottom w:val="0"/>
      <w:divBdr>
        <w:top w:val="none" w:sz="0" w:space="0" w:color="auto"/>
        <w:left w:val="none" w:sz="0" w:space="0" w:color="auto"/>
        <w:bottom w:val="none" w:sz="0" w:space="0" w:color="auto"/>
        <w:right w:val="none" w:sz="0" w:space="0" w:color="auto"/>
      </w:divBdr>
    </w:div>
    <w:div w:id="1310550605">
      <w:bodyDiv w:val="1"/>
      <w:marLeft w:val="0"/>
      <w:marRight w:val="0"/>
      <w:marTop w:val="0"/>
      <w:marBottom w:val="0"/>
      <w:divBdr>
        <w:top w:val="none" w:sz="0" w:space="0" w:color="auto"/>
        <w:left w:val="none" w:sz="0" w:space="0" w:color="auto"/>
        <w:bottom w:val="none" w:sz="0" w:space="0" w:color="auto"/>
        <w:right w:val="none" w:sz="0" w:space="0" w:color="auto"/>
      </w:divBdr>
    </w:div>
    <w:div w:id="1354307853">
      <w:bodyDiv w:val="1"/>
      <w:marLeft w:val="0"/>
      <w:marRight w:val="0"/>
      <w:marTop w:val="0"/>
      <w:marBottom w:val="0"/>
      <w:divBdr>
        <w:top w:val="none" w:sz="0" w:space="0" w:color="auto"/>
        <w:left w:val="none" w:sz="0" w:space="0" w:color="auto"/>
        <w:bottom w:val="none" w:sz="0" w:space="0" w:color="auto"/>
        <w:right w:val="none" w:sz="0" w:space="0" w:color="auto"/>
      </w:divBdr>
    </w:div>
    <w:div w:id="1361709675">
      <w:bodyDiv w:val="1"/>
      <w:marLeft w:val="0"/>
      <w:marRight w:val="0"/>
      <w:marTop w:val="0"/>
      <w:marBottom w:val="0"/>
      <w:divBdr>
        <w:top w:val="none" w:sz="0" w:space="0" w:color="auto"/>
        <w:left w:val="none" w:sz="0" w:space="0" w:color="auto"/>
        <w:bottom w:val="none" w:sz="0" w:space="0" w:color="auto"/>
        <w:right w:val="none" w:sz="0" w:space="0" w:color="auto"/>
      </w:divBdr>
    </w:div>
    <w:div w:id="1500385529">
      <w:bodyDiv w:val="1"/>
      <w:marLeft w:val="0"/>
      <w:marRight w:val="0"/>
      <w:marTop w:val="0"/>
      <w:marBottom w:val="0"/>
      <w:divBdr>
        <w:top w:val="none" w:sz="0" w:space="0" w:color="auto"/>
        <w:left w:val="none" w:sz="0" w:space="0" w:color="auto"/>
        <w:bottom w:val="none" w:sz="0" w:space="0" w:color="auto"/>
        <w:right w:val="none" w:sz="0" w:space="0" w:color="auto"/>
      </w:divBdr>
    </w:div>
    <w:div w:id="1524051809">
      <w:bodyDiv w:val="1"/>
      <w:marLeft w:val="0"/>
      <w:marRight w:val="0"/>
      <w:marTop w:val="0"/>
      <w:marBottom w:val="0"/>
      <w:divBdr>
        <w:top w:val="none" w:sz="0" w:space="0" w:color="auto"/>
        <w:left w:val="none" w:sz="0" w:space="0" w:color="auto"/>
        <w:bottom w:val="none" w:sz="0" w:space="0" w:color="auto"/>
        <w:right w:val="none" w:sz="0" w:space="0" w:color="auto"/>
      </w:divBdr>
    </w:div>
    <w:div w:id="1556119274">
      <w:bodyDiv w:val="1"/>
      <w:marLeft w:val="0"/>
      <w:marRight w:val="0"/>
      <w:marTop w:val="0"/>
      <w:marBottom w:val="0"/>
      <w:divBdr>
        <w:top w:val="none" w:sz="0" w:space="0" w:color="auto"/>
        <w:left w:val="none" w:sz="0" w:space="0" w:color="auto"/>
        <w:bottom w:val="none" w:sz="0" w:space="0" w:color="auto"/>
        <w:right w:val="none" w:sz="0" w:space="0" w:color="auto"/>
      </w:divBdr>
    </w:div>
    <w:div w:id="1800564583">
      <w:bodyDiv w:val="1"/>
      <w:marLeft w:val="0"/>
      <w:marRight w:val="0"/>
      <w:marTop w:val="0"/>
      <w:marBottom w:val="0"/>
      <w:divBdr>
        <w:top w:val="none" w:sz="0" w:space="0" w:color="auto"/>
        <w:left w:val="none" w:sz="0" w:space="0" w:color="auto"/>
        <w:bottom w:val="none" w:sz="0" w:space="0" w:color="auto"/>
        <w:right w:val="none" w:sz="0" w:space="0" w:color="auto"/>
      </w:divBdr>
    </w:div>
    <w:div w:id="2021882911">
      <w:bodyDiv w:val="1"/>
      <w:marLeft w:val="0"/>
      <w:marRight w:val="0"/>
      <w:marTop w:val="0"/>
      <w:marBottom w:val="0"/>
      <w:divBdr>
        <w:top w:val="none" w:sz="0" w:space="0" w:color="auto"/>
        <w:left w:val="none" w:sz="0" w:space="0" w:color="auto"/>
        <w:bottom w:val="none" w:sz="0" w:space="0" w:color="auto"/>
        <w:right w:val="none" w:sz="0" w:space="0" w:color="auto"/>
      </w:divBdr>
    </w:div>
    <w:div w:id="2031754905">
      <w:bodyDiv w:val="1"/>
      <w:marLeft w:val="0"/>
      <w:marRight w:val="0"/>
      <w:marTop w:val="0"/>
      <w:marBottom w:val="0"/>
      <w:divBdr>
        <w:top w:val="none" w:sz="0" w:space="0" w:color="auto"/>
        <w:left w:val="none" w:sz="0" w:space="0" w:color="auto"/>
        <w:bottom w:val="none" w:sz="0" w:space="0" w:color="auto"/>
        <w:right w:val="none" w:sz="0" w:space="0" w:color="auto"/>
      </w:divBdr>
    </w:div>
    <w:div w:id="20644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media@intermedianews.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c29df518a341138b122b05f43772a428">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64329635699c4bd936a03e493d7751ef"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c29df518a341138b122b05f43772a428">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64329635699c4bd936a03e493d7751ef"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D6B1F-0A73-433F-9986-C2B53428B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C9212-AD21-4734-B2AB-579954363DB2}">
  <ds:schemaRefs>
    <ds:schemaRef ds:uri="http://schemas.microsoft.com/sharepoint/v3/contenttype/forms"/>
  </ds:schemaRefs>
</ds:datastoreItem>
</file>

<file path=customXml/itemProps3.xml><?xml version="1.0" encoding="utf-8"?>
<ds:datastoreItem xmlns:ds="http://schemas.openxmlformats.org/officeDocument/2006/customXml" ds:itemID="{47F36921-8229-4641-93CC-093CD4420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06AEF-3563-4BCC-8A15-6C0D2C651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2037</Words>
  <Characters>11616</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 Health</dc:creator>
  <cp:keywords/>
  <dc:description/>
  <cp:lastModifiedBy>Anna</cp:lastModifiedBy>
  <cp:revision>10</cp:revision>
  <dcterms:created xsi:type="dcterms:W3CDTF">2020-09-18T15:56:00Z</dcterms:created>
  <dcterms:modified xsi:type="dcterms:W3CDTF">2020-09-21T16:02:00Z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