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DFD06" w14:textId="77777777" w:rsidR="007B32D1" w:rsidRPr="00254C56" w:rsidRDefault="007B32D1" w:rsidP="007B32D1">
      <w:pPr>
        <w:rPr>
          <w:noProof/>
          <w:sz w:val="22"/>
          <w:szCs w:val="22"/>
        </w:rPr>
      </w:pPr>
    </w:p>
    <w:p w14:paraId="06A0794B" w14:textId="77777777" w:rsidR="007B32D1" w:rsidRPr="00254C56" w:rsidRDefault="007B32D1" w:rsidP="007B32D1">
      <w:pPr>
        <w:rPr>
          <w:noProof/>
          <w:sz w:val="22"/>
          <w:szCs w:val="22"/>
        </w:rPr>
      </w:pPr>
    </w:p>
    <w:p w14:paraId="5559E8DE" w14:textId="77777777" w:rsidR="007B32D1" w:rsidRPr="00254C56" w:rsidRDefault="007B32D1" w:rsidP="007B32D1">
      <w:pPr>
        <w:rPr>
          <w:noProof/>
          <w:sz w:val="22"/>
          <w:szCs w:val="22"/>
        </w:rPr>
      </w:pPr>
    </w:p>
    <w:p w14:paraId="75477672" w14:textId="77777777" w:rsidR="007B32D1" w:rsidRPr="00254C56" w:rsidRDefault="007B32D1" w:rsidP="007B32D1">
      <w:pPr>
        <w:rPr>
          <w:noProof/>
          <w:sz w:val="22"/>
          <w:szCs w:val="22"/>
        </w:rPr>
      </w:pPr>
    </w:p>
    <w:p w14:paraId="5197DF89" w14:textId="77777777" w:rsidR="007B32D1" w:rsidRPr="00254C56" w:rsidRDefault="007B32D1" w:rsidP="007B32D1">
      <w:pPr>
        <w:rPr>
          <w:noProof/>
          <w:sz w:val="22"/>
          <w:szCs w:val="22"/>
        </w:rPr>
      </w:pPr>
    </w:p>
    <w:p w14:paraId="4A6768CE" w14:textId="77777777" w:rsidR="007B32D1" w:rsidRPr="00254C56" w:rsidRDefault="007B32D1" w:rsidP="007B32D1">
      <w:pPr>
        <w:rPr>
          <w:noProof/>
          <w:sz w:val="22"/>
          <w:szCs w:val="22"/>
        </w:rPr>
      </w:pPr>
    </w:p>
    <w:p w14:paraId="7C2C7F19" w14:textId="77777777" w:rsidR="007B32D1" w:rsidRPr="00254C56" w:rsidRDefault="007B32D1" w:rsidP="007B32D1">
      <w:pPr>
        <w:rPr>
          <w:noProof/>
          <w:sz w:val="22"/>
          <w:szCs w:val="22"/>
        </w:rPr>
      </w:pPr>
    </w:p>
    <w:p w14:paraId="5214E13C" w14:textId="77777777" w:rsidR="007B32D1" w:rsidRPr="00254C56" w:rsidRDefault="007B32D1" w:rsidP="007B32D1">
      <w:pPr>
        <w:rPr>
          <w:noProof/>
          <w:sz w:val="22"/>
          <w:szCs w:val="22"/>
        </w:rPr>
      </w:pPr>
    </w:p>
    <w:p w14:paraId="06119E15" w14:textId="77777777" w:rsidR="00254C56" w:rsidRPr="00254C56" w:rsidRDefault="00254C56" w:rsidP="007B32D1">
      <w:pPr>
        <w:rPr>
          <w:noProof/>
          <w:sz w:val="22"/>
          <w:szCs w:val="22"/>
        </w:rPr>
      </w:pPr>
    </w:p>
    <w:p w14:paraId="6CEA3297" w14:textId="77777777" w:rsidR="00254C56" w:rsidRPr="00254C56" w:rsidRDefault="00254C56" w:rsidP="007B32D1">
      <w:pPr>
        <w:rPr>
          <w:noProof/>
          <w:sz w:val="22"/>
          <w:szCs w:val="22"/>
        </w:rPr>
      </w:pPr>
    </w:p>
    <w:p w14:paraId="6FA3B613" w14:textId="77777777" w:rsidR="00254C56" w:rsidRPr="00254C56" w:rsidRDefault="00254C56" w:rsidP="007B32D1">
      <w:pPr>
        <w:rPr>
          <w:noProof/>
          <w:sz w:val="22"/>
          <w:szCs w:val="22"/>
        </w:rPr>
      </w:pPr>
    </w:p>
    <w:p w14:paraId="768CF467" w14:textId="4CC0B48A" w:rsidR="00457492" w:rsidRPr="00CF0531" w:rsidRDefault="00457492" w:rsidP="007C6BF4">
      <w:pPr>
        <w:shd w:val="clear" w:color="auto" w:fill="FFFFFF" w:themeFill="background1"/>
        <w:spacing w:line="240" w:lineRule="auto"/>
        <w:rPr>
          <w:b/>
          <w:noProof/>
          <w:color w:val="8D1F1B" w:themeColor="accent4"/>
          <w:sz w:val="28"/>
          <w:szCs w:val="26"/>
          <w:lang w:val="it-IT"/>
        </w:rPr>
      </w:pPr>
      <w:r w:rsidRPr="00CF0531">
        <w:rPr>
          <w:b/>
          <w:noProof/>
          <w:color w:val="8D1F1B" w:themeColor="accent4"/>
          <w:sz w:val="28"/>
          <w:szCs w:val="26"/>
          <w:lang w:val="it-IT"/>
        </w:rPr>
        <w:t>EMBARGO ALLE 23.30</w:t>
      </w:r>
      <w:r w:rsidR="00F26C19">
        <w:rPr>
          <w:b/>
          <w:noProof/>
          <w:color w:val="8D1F1B" w:themeColor="accent4"/>
          <w:sz w:val="28"/>
          <w:szCs w:val="26"/>
          <w:lang w:val="it-IT"/>
        </w:rPr>
        <w:t xml:space="preserve"> (CET TIME) </w:t>
      </w:r>
      <w:r w:rsidRPr="00CF0531">
        <w:rPr>
          <w:b/>
          <w:noProof/>
          <w:color w:val="8D1F1B" w:themeColor="accent4"/>
          <w:sz w:val="28"/>
          <w:szCs w:val="26"/>
          <w:lang w:val="it-IT"/>
        </w:rPr>
        <w:t>DI GIOVEDÌ 3 GIUGNO</w:t>
      </w:r>
      <w:r w:rsidR="00F26C19">
        <w:rPr>
          <w:b/>
          <w:noProof/>
          <w:color w:val="8D1F1B" w:themeColor="accent4"/>
          <w:sz w:val="28"/>
          <w:szCs w:val="26"/>
          <w:lang w:val="it-IT"/>
        </w:rPr>
        <w:t xml:space="preserve"> 2021</w:t>
      </w:r>
    </w:p>
    <w:p w14:paraId="18891D37" w14:textId="77777777" w:rsidR="00457492" w:rsidRPr="00CF0531" w:rsidRDefault="00457492" w:rsidP="007C6BF4">
      <w:pPr>
        <w:shd w:val="clear" w:color="auto" w:fill="FFFFFF" w:themeFill="background1"/>
        <w:spacing w:line="240" w:lineRule="auto"/>
        <w:rPr>
          <w:b/>
          <w:noProof/>
          <w:color w:val="8D1F1B" w:themeColor="accent4"/>
          <w:sz w:val="28"/>
          <w:szCs w:val="26"/>
          <w:lang w:val="it-IT"/>
        </w:rPr>
      </w:pPr>
    </w:p>
    <w:p w14:paraId="5F327BF4" w14:textId="77777777" w:rsidR="002B3130" w:rsidRPr="00CF0531" w:rsidRDefault="005D2409" w:rsidP="007C6BF4">
      <w:pPr>
        <w:shd w:val="clear" w:color="auto" w:fill="FFFFFF" w:themeFill="background1"/>
        <w:spacing w:line="240" w:lineRule="auto"/>
        <w:rPr>
          <w:rFonts w:ascii="Anodina" w:eastAsia="Times New Roman" w:hAnsi="Anodina" w:cs="Tahoma"/>
          <w:b/>
          <w:bCs/>
          <w:color w:val="FF0000"/>
          <w:kern w:val="36"/>
          <w:sz w:val="24"/>
          <w:szCs w:val="24"/>
          <w:highlight w:val="yellow"/>
          <w:lang w:val="it-IT"/>
        </w:rPr>
      </w:pPr>
      <w:r w:rsidRPr="00CF0531">
        <w:rPr>
          <w:b/>
          <w:noProof/>
          <w:color w:val="8D1F1B" w:themeColor="accent4"/>
          <w:sz w:val="28"/>
          <w:szCs w:val="26"/>
          <w:lang w:val="it-IT"/>
        </w:rPr>
        <w:t xml:space="preserve">COMUNICATO STAMPA </w:t>
      </w:r>
      <w:r w:rsidR="00AD3CC9" w:rsidRPr="00CF0531">
        <w:rPr>
          <w:b/>
          <w:noProof/>
          <w:color w:val="8D1F1B" w:themeColor="accent4"/>
          <w:sz w:val="24"/>
          <w:szCs w:val="24"/>
          <w:lang w:val="it-IT"/>
        </w:rPr>
        <w:br/>
      </w:r>
    </w:p>
    <w:p w14:paraId="2ECA2997" w14:textId="77777777" w:rsidR="00E26816" w:rsidRPr="00CF0531" w:rsidRDefault="00C63AF8" w:rsidP="00E26816">
      <w:pPr>
        <w:rPr>
          <w:rFonts w:asciiTheme="majorHAnsi" w:eastAsiaTheme="majorEastAsia" w:hAnsiTheme="majorHAnsi" w:cstheme="majorBidi"/>
          <w:b/>
          <w:bCs/>
          <w:noProof/>
          <w:sz w:val="32"/>
          <w:szCs w:val="32"/>
          <w:lang w:val="it-IT"/>
        </w:rPr>
      </w:pPr>
      <w:r w:rsidRPr="00CF0531">
        <w:rPr>
          <w:rFonts w:asciiTheme="majorHAnsi" w:eastAsiaTheme="majorEastAsia" w:hAnsiTheme="majorHAnsi" w:cstheme="majorBidi"/>
          <w:b/>
          <w:bCs/>
          <w:noProof/>
          <w:sz w:val="32"/>
          <w:szCs w:val="32"/>
          <w:lang w:val="it-IT"/>
        </w:rPr>
        <w:t xml:space="preserve">Tumore della prostata metastatico resistente alla castrazione: nuova terapia mirata con radioligando riduce del 38% il rischio di morte </w:t>
      </w:r>
    </w:p>
    <w:p w14:paraId="1CAA598E" w14:textId="77777777" w:rsidR="00E26816" w:rsidRPr="00CF0531" w:rsidRDefault="00E26816" w:rsidP="00E26816">
      <w:pPr>
        <w:rPr>
          <w:i/>
          <w:sz w:val="32"/>
          <w:szCs w:val="32"/>
          <w:lang w:val="it-IT"/>
        </w:rPr>
      </w:pPr>
    </w:p>
    <w:p w14:paraId="4E3A4BF1" w14:textId="77777777" w:rsidR="00E26816" w:rsidRPr="003C1B5B" w:rsidRDefault="00677DEE" w:rsidP="00EC69A3">
      <w:pPr>
        <w:pStyle w:val="Bullets"/>
        <w:rPr>
          <w:rStyle w:val="Enfasicorsivo"/>
          <w:rFonts w:ascii="Arial" w:hAnsi="Arial" w:cs="Arial"/>
          <w:color w:val="221F1F"/>
          <w:sz w:val="22"/>
          <w:szCs w:val="22"/>
          <w:shd w:val="clear" w:color="auto" w:fill="FFFFFF"/>
          <w:lang w:val="it-IT"/>
        </w:rPr>
      </w:pPr>
      <w:r w:rsidRPr="00CF0531">
        <w:rPr>
          <w:rStyle w:val="Enfasicorsivo"/>
          <w:rFonts w:ascii="Arial" w:hAnsi="Arial" w:cs="Arial"/>
          <w:color w:val="221F1F"/>
          <w:sz w:val="22"/>
          <w:szCs w:val="22"/>
          <w:shd w:val="clear" w:color="auto" w:fill="FFFFFF"/>
          <w:lang w:val="it-IT"/>
        </w:rPr>
        <w:t xml:space="preserve">Gli uomini trattati con </w:t>
      </w:r>
      <w:r w:rsidR="008D3454" w:rsidRPr="00CF0531">
        <w:rPr>
          <w:rStyle w:val="Enfasicorsivo"/>
          <w:rFonts w:ascii="Arial" w:hAnsi="Arial" w:cs="Arial"/>
          <w:color w:val="221F1F"/>
          <w:sz w:val="22"/>
          <w:szCs w:val="22"/>
          <w:shd w:val="clear" w:color="auto" w:fill="FFFFFF"/>
          <w:vertAlign w:val="superscript"/>
          <w:lang w:val="it-IT"/>
        </w:rPr>
        <w:t>177</w:t>
      </w:r>
      <w:r w:rsidR="008D3454" w:rsidRPr="00CF0531">
        <w:rPr>
          <w:rStyle w:val="Enfasicorsivo"/>
          <w:rFonts w:ascii="Arial" w:hAnsi="Arial" w:cs="Arial"/>
          <w:color w:val="221F1F"/>
          <w:sz w:val="22"/>
          <w:szCs w:val="22"/>
          <w:shd w:val="clear" w:color="auto" w:fill="FFFFFF"/>
          <w:lang w:val="it-IT"/>
        </w:rPr>
        <w:t xml:space="preserve">Lu-PSMA-617 </w:t>
      </w:r>
      <w:r w:rsidRPr="00CF0531">
        <w:rPr>
          <w:rStyle w:val="Enfasicorsivo"/>
          <w:rFonts w:ascii="Arial" w:hAnsi="Arial" w:cs="Arial"/>
          <w:color w:val="221F1F"/>
          <w:sz w:val="22"/>
          <w:szCs w:val="22"/>
          <w:shd w:val="clear" w:color="auto" w:fill="FFFFFF"/>
          <w:lang w:val="it-IT"/>
        </w:rPr>
        <w:t>in aggiunta al</w:t>
      </w:r>
      <w:r w:rsidR="00E72473" w:rsidRPr="00CF0531">
        <w:rPr>
          <w:rStyle w:val="Enfasicorsivo"/>
          <w:rFonts w:ascii="Arial" w:hAnsi="Arial" w:cs="Arial"/>
          <w:color w:val="221F1F"/>
          <w:sz w:val="22"/>
          <w:szCs w:val="22"/>
          <w:shd w:val="clear" w:color="auto" w:fill="FFFFFF"/>
          <w:lang w:val="it-IT"/>
        </w:rPr>
        <w:t xml:space="preserve"> miglior </w:t>
      </w:r>
      <w:r w:rsidRPr="00CF0531">
        <w:rPr>
          <w:rStyle w:val="Enfasicorsivo"/>
          <w:rFonts w:ascii="Arial" w:hAnsi="Arial" w:cs="Arial"/>
          <w:color w:val="221F1F"/>
          <w:sz w:val="22"/>
          <w:szCs w:val="22"/>
          <w:shd w:val="clear" w:color="auto" w:fill="FFFFFF"/>
          <w:lang w:val="it-IT"/>
        </w:rPr>
        <w:t xml:space="preserve">standard di cura hanno ottenuto una riduzione del </w:t>
      </w:r>
      <w:r w:rsidR="00DB0DB0" w:rsidRPr="00CF0531">
        <w:rPr>
          <w:rStyle w:val="Enfasicorsivo"/>
          <w:rFonts w:ascii="Arial" w:hAnsi="Arial" w:cs="Arial"/>
          <w:color w:val="221F1F"/>
          <w:sz w:val="22"/>
          <w:szCs w:val="22"/>
          <w:shd w:val="clear" w:color="auto" w:fill="FFFFFF"/>
          <w:lang w:val="it-IT"/>
        </w:rPr>
        <w:t xml:space="preserve">38% </w:t>
      </w:r>
      <w:r w:rsidRPr="00CF0531">
        <w:rPr>
          <w:rStyle w:val="Enfasicorsivo"/>
          <w:rFonts w:ascii="Arial" w:hAnsi="Arial" w:cs="Arial"/>
          <w:color w:val="221F1F"/>
          <w:sz w:val="22"/>
          <w:szCs w:val="22"/>
          <w:shd w:val="clear" w:color="auto" w:fill="FFFFFF"/>
          <w:lang w:val="it-IT"/>
        </w:rPr>
        <w:t xml:space="preserve">del rischio di morte </w:t>
      </w:r>
      <w:r w:rsidR="00AA6B74" w:rsidRPr="00CF0531">
        <w:rPr>
          <w:rStyle w:val="Enfasicorsivo"/>
          <w:rFonts w:ascii="Arial" w:hAnsi="Arial" w:cs="Arial"/>
          <w:color w:val="221F1F"/>
          <w:sz w:val="22"/>
          <w:szCs w:val="22"/>
          <w:shd w:val="clear" w:color="auto" w:fill="FFFFFF"/>
          <w:lang w:val="it-IT"/>
        </w:rPr>
        <w:t>(</w:t>
      </w:r>
      <w:r w:rsidRPr="00CF0531">
        <w:rPr>
          <w:rStyle w:val="Enfasicorsivo"/>
          <w:rFonts w:ascii="Arial" w:hAnsi="Arial" w:cs="Arial"/>
          <w:color w:val="221F1F"/>
          <w:sz w:val="22"/>
          <w:szCs w:val="22"/>
          <w:shd w:val="clear" w:color="auto" w:fill="FFFFFF"/>
          <w:lang w:val="it-IT"/>
        </w:rPr>
        <w:t xml:space="preserve">beneficio medio di sopravvivenza globale di </w:t>
      </w:r>
      <w:r w:rsidR="00DC69B0" w:rsidRPr="00CF0531">
        <w:rPr>
          <w:rStyle w:val="Enfasicorsivo"/>
          <w:rFonts w:ascii="Arial" w:hAnsi="Arial" w:cs="Arial"/>
          <w:color w:val="221F1F"/>
          <w:sz w:val="22"/>
          <w:szCs w:val="22"/>
          <w:shd w:val="clear" w:color="auto" w:fill="FFFFFF"/>
          <w:lang w:val="it-IT"/>
        </w:rPr>
        <w:t>4 m</w:t>
      </w:r>
      <w:r w:rsidRPr="00CF0531">
        <w:rPr>
          <w:rStyle w:val="Enfasicorsivo"/>
          <w:rFonts w:ascii="Arial" w:hAnsi="Arial" w:cs="Arial"/>
          <w:color w:val="221F1F"/>
          <w:sz w:val="22"/>
          <w:szCs w:val="22"/>
          <w:shd w:val="clear" w:color="auto" w:fill="FFFFFF"/>
          <w:lang w:val="it-IT"/>
        </w:rPr>
        <w:t>esi</w:t>
      </w:r>
      <w:r w:rsidR="00AA6B74" w:rsidRPr="00CF0531">
        <w:rPr>
          <w:rStyle w:val="Enfasicorsivo"/>
          <w:rFonts w:ascii="Arial" w:hAnsi="Arial" w:cs="Arial"/>
          <w:color w:val="221F1F"/>
          <w:sz w:val="22"/>
          <w:szCs w:val="22"/>
          <w:shd w:val="clear" w:color="auto" w:fill="FFFFFF"/>
          <w:lang w:val="it-IT"/>
        </w:rPr>
        <w:t>)</w:t>
      </w:r>
      <w:r w:rsidR="00DB0DB0" w:rsidRPr="00CF0531">
        <w:rPr>
          <w:rStyle w:val="Enfasicorsivo"/>
          <w:rFonts w:ascii="Arial" w:hAnsi="Arial" w:cs="Arial"/>
          <w:color w:val="221F1F"/>
          <w:sz w:val="22"/>
          <w:szCs w:val="22"/>
          <w:shd w:val="clear" w:color="auto" w:fill="FFFFFF"/>
          <w:lang w:val="it-IT"/>
        </w:rPr>
        <w:t xml:space="preserve"> </w:t>
      </w:r>
      <w:r w:rsidR="003438B0" w:rsidRPr="00CF0531">
        <w:rPr>
          <w:rStyle w:val="Enfasicorsivo"/>
          <w:rFonts w:ascii="Arial" w:hAnsi="Arial" w:cs="Arial"/>
          <w:color w:val="221F1F"/>
          <w:sz w:val="22"/>
          <w:szCs w:val="22"/>
          <w:shd w:val="clear" w:color="auto" w:fill="FFFFFF"/>
          <w:lang w:val="it-IT"/>
        </w:rPr>
        <w:t xml:space="preserve">e del </w:t>
      </w:r>
      <w:r w:rsidR="0056650F" w:rsidRPr="00CF0531">
        <w:rPr>
          <w:rStyle w:val="Enfasicorsivo"/>
          <w:rFonts w:ascii="Arial" w:hAnsi="Arial" w:cs="Arial"/>
          <w:color w:val="221F1F"/>
          <w:sz w:val="22"/>
          <w:szCs w:val="22"/>
          <w:shd w:val="clear" w:color="auto" w:fill="FFFFFF"/>
          <w:lang w:val="it-IT"/>
        </w:rPr>
        <w:t xml:space="preserve">60% </w:t>
      </w:r>
      <w:r w:rsidR="003438B0" w:rsidRPr="00CF0531">
        <w:rPr>
          <w:rStyle w:val="Enfasicorsivo"/>
          <w:rFonts w:ascii="Arial" w:hAnsi="Arial" w:cs="Arial"/>
          <w:color w:val="221F1F"/>
          <w:sz w:val="22"/>
          <w:szCs w:val="22"/>
          <w:shd w:val="clear" w:color="auto" w:fill="FFFFFF"/>
          <w:lang w:val="it-IT"/>
        </w:rPr>
        <w:t xml:space="preserve">del rischio di progressione della malattia rilevata radiograficamente o di morte </w:t>
      </w:r>
      <w:r w:rsidR="00AA6B74" w:rsidRPr="00CF0531">
        <w:rPr>
          <w:rStyle w:val="Enfasicorsivo"/>
          <w:rFonts w:ascii="Arial" w:hAnsi="Arial" w:cs="Arial"/>
          <w:color w:val="221F1F"/>
          <w:sz w:val="22"/>
          <w:szCs w:val="22"/>
          <w:shd w:val="clear" w:color="auto" w:fill="FFFFFF"/>
          <w:lang w:val="it-IT"/>
        </w:rPr>
        <w:t>(</w:t>
      </w:r>
      <w:r w:rsidR="003438B0" w:rsidRPr="00CF0531">
        <w:rPr>
          <w:rStyle w:val="Enfasicorsivo"/>
          <w:rFonts w:ascii="Arial" w:hAnsi="Arial" w:cs="Arial"/>
          <w:color w:val="221F1F"/>
          <w:sz w:val="22"/>
          <w:szCs w:val="22"/>
          <w:shd w:val="clear" w:color="auto" w:fill="FFFFFF"/>
          <w:lang w:val="it-IT"/>
        </w:rPr>
        <w:t xml:space="preserve">beneficio medio di sopravvivenza </w:t>
      </w:r>
      <w:r w:rsidR="003438B0" w:rsidRPr="003C1B5B">
        <w:rPr>
          <w:rStyle w:val="Enfasicorsivo"/>
          <w:rFonts w:ascii="Arial" w:hAnsi="Arial" w:cs="Arial"/>
          <w:color w:val="221F1F"/>
          <w:sz w:val="22"/>
          <w:szCs w:val="22"/>
          <w:shd w:val="clear" w:color="auto" w:fill="FFFFFF"/>
          <w:lang w:val="it-IT"/>
        </w:rPr>
        <w:t xml:space="preserve">libera da progressione di malattia di </w:t>
      </w:r>
      <w:r w:rsidR="00AA6B74" w:rsidRPr="003C1B5B">
        <w:rPr>
          <w:rStyle w:val="Enfasicorsivo"/>
          <w:rFonts w:ascii="Arial" w:hAnsi="Arial" w:cs="Arial"/>
          <w:color w:val="221F1F"/>
          <w:sz w:val="22"/>
          <w:szCs w:val="22"/>
          <w:shd w:val="clear" w:color="auto" w:fill="FFFFFF"/>
          <w:lang w:val="it-IT"/>
        </w:rPr>
        <w:t>5</w:t>
      </w:r>
      <w:r w:rsidR="00DC69B0" w:rsidRPr="003C1B5B">
        <w:rPr>
          <w:rStyle w:val="Enfasicorsivo"/>
          <w:rFonts w:ascii="Arial" w:hAnsi="Arial" w:cs="Arial"/>
          <w:color w:val="221F1F"/>
          <w:sz w:val="22"/>
          <w:szCs w:val="22"/>
          <w:shd w:val="clear" w:color="auto" w:fill="FFFFFF"/>
          <w:lang w:val="it-IT"/>
        </w:rPr>
        <w:t xml:space="preserve"> </w:t>
      </w:r>
      <w:r w:rsidR="00AA6B74" w:rsidRPr="003C1B5B">
        <w:rPr>
          <w:rStyle w:val="Enfasicorsivo"/>
          <w:rFonts w:ascii="Arial" w:hAnsi="Arial" w:cs="Arial"/>
          <w:color w:val="221F1F"/>
          <w:sz w:val="22"/>
          <w:szCs w:val="22"/>
          <w:shd w:val="clear" w:color="auto" w:fill="FFFFFF"/>
          <w:lang w:val="it-IT"/>
        </w:rPr>
        <w:t>m</w:t>
      </w:r>
      <w:r w:rsidR="003438B0" w:rsidRPr="003C1B5B">
        <w:rPr>
          <w:rStyle w:val="Enfasicorsivo"/>
          <w:rFonts w:ascii="Arial" w:hAnsi="Arial" w:cs="Arial"/>
          <w:color w:val="221F1F"/>
          <w:sz w:val="22"/>
          <w:szCs w:val="22"/>
          <w:shd w:val="clear" w:color="auto" w:fill="FFFFFF"/>
          <w:lang w:val="it-IT"/>
        </w:rPr>
        <w:t>esi</w:t>
      </w:r>
      <w:r w:rsidR="00AA6B74" w:rsidRPr="003C1B5B">
        <w:rPr>
          <w:rStyle w:val="Enfasicorsivo"/>
          <w:rFonts w:ascii="Arial" w:hAnsi="Arial" w:cs="Arial"/>
          <w:color w:val="221F1F"/>
          <w:sz w:val="22"/>
          <w:szCs w:val="22"/>
          <w:shd w:val="clear" w:color="auto" w:fill="FFFFFF"/>
          <w:lang w:val="it-IT"/>
        </w:rPr>
        <w:t xml:space="preserve">) </w:t>
      </w:r>
      <w:r w:rsidR="003438B0" w:rsidRPr="003C1B5B">
        <w:rPr>
          <w:rStyle w:val="Enfasicorsivo"/>
          <w:rFonts w:ascii="Arial" w:hAnsi="Arial" w:cs="Arial"/>
          <w:color w:val="221F1F"/>
          <w:sz w:val="22"/>
          <w:szCs w:val="22"/>
          <w:shd w:val="clear" w:color="auto" w:fill="FFFFFF"/>
          <w:lang w:val="it-IT"/>
        </w:rPr>
        <w:t>rispetto al</w:t>
      </w:r>
      <w:r w:rsidR="00B2048F" w:rsidRPr="003C1B5B">
        <w:rPr>
          <w:rStyle w:val="Enfasicorsivo"/>
          <w:rFonts w:ascii="Arial" w:hAnsi="Arial" w:cs="Arial"/>
          <w:color w:val="221F1F"/>
          <w:sz w:val="22"/>
          <w:szCs w:val="22"/>
          <w:shd w:val="clear" w:color="auto" w:fill="FFFFFF"/>
          <w:lang w:val="it-IT"/>
        </w:rPr>
        <w:t xml:space="preserve"> miglior</w:t>
      </w:r>
      <w:r w:rsidR="003438B0" w:rsidRPr="003C1B5B">
        <w:rPr>
          <w:rStyle w:val="Enfasicorsivo"/>
          <w:rFonts w:ascii="Arial" w:hAnsi="Arial" w:cs="Arial"/>
          <w:color w:val="221F1F"/>
          <w:sz w:val="22"/>
          <w:szCs w:val="22"/>
          <w:shd w:val="clear" w:color="auto" w:fill="FFFFFF"/>
          <w:lang w:val="it-IT"/>
        </w:rPr>
        <w:t xml:space="preserve"> standard di cura</w:t>
      </w:r>
      <w:r w:rsidR="00457492" w:rsidRPr="003C1B5B">
        <w:rPr>
          <w:rStyle w:val="Enfasicorsivo"/>
          <w:rFonts w:ascii="Arial" w:hAnsi="Arial" w:cs="Arial"/>
          <w:color w:val="221F1F"/>
          <w:sz w:val="22"/>
          <w:szCs w:val="22"/>
          <w:shd w:val="clear" w:color="auto" w:fill="FFFFFF"/>
          <w:lang w:val="it-IT"/>
        </w:rPr>
        <w:t xml:space="preserve"> da solo</w:t>
      </w:r>
      <w:r w:rsidR="00AA6B74" w:rsidRPr="003C1B5B">
        <w:rPr>
          <w:rStyle w:val="Enfasicorsivo"/>
          <w:rFonts w:ascii="Arial" w:hAnsi="Arial" w:cs="Arial"/>
          <w:color w:val="221F1F"/>
          <w:sz w:val="22"/>
          <w:szCs w:val="22"/>
          <w:shd w:val="clear" w:color="auto" w:fill="FFFFFF"/>
          <w:vertAlign w:val="superscript"/>
          <w:lang w:val="it-IT"/>
        </w:rPr>
        <w:t>1</w:t>
      </w:r>
    </w:p>
    <w:p w14:paraId="2D802E99" w14:textId="77777777" w:rsidR="00E26816" w:rsidRPr="003C1B5B" w:rsidRDefault="00E26816" w:rsidP="00DA0367">
      <w:pPr>
        <w:pStyle w:val="Bullets"/>
        <w:numPr>
          <w:ilvl w:val="0"/>
          <w:numId w:val="0"/>
        </w:numPr>
        <w:spacing w:line="220" w:lineRule="atLeast"/>
        <w:rPr>
          <w:rStyle w:val="Enfasicorsivo"/>
          <w:rFonts w:ascii="Arial" w:hAnsi="Arial" w:cs="Arial"/>
          <w:iCs w:val="0"/>
          <w:color w:val="221F1F"/>
          <w:shd w:val="clear" w:color="auto" w:fill="FFFFFF"/>
          <w:lang w:val="it-IT"/>
        </w:rPr>
      </w:pPr>
    </w:p>
    <w:p w14:paraId="4591A456" w14:textId="177B1F58" w:rsidR="007915BA" w:rsidRPr="003C1B5B" w:rsidRDefault="007915BA" w:rsidP="007915BA">
      <w:pPr>
        <w:pStyle w:val="Bullets"/>
        <w:spacing w:line="220" w:lineRule="atLeast"/>
        <w:rPr>
          <w:rStyle w:val="Enfasicorsivo"/>
          <w:sz w:val="22"/>
          <w:szCs w:val="22"/>
          <w:lang w:val="it-IT"/>
        </w:rPr>
      </w:pPr>
      <w:r w:rsidRPr="003C1B5B">
        <w:rPr>
          <w:rStyle w:val="Enfasicorsivo"/>
          <w:sz w:val="22"/>
          <w:szCs w:val="22"/>
          <w:lang w:val="it-IT"/>
        </w:rPr>
        <w:t>Mig</w:t>
      </w:r>
      <w:r w:rsidR="00FF2FAA" w:rsidRPr="003C1B5B">
        <w:rPr>
          <w:rStyle w:val="Enfasicorsivo"/>
          <w:sz w:val="22"/>
          <w:szCs w:val="22"/>
          <w:lang w:val="it-IT"/>
        </w:rPr>
        <w:t>l</w:t>
      </w:r>
      <w:r w:rsidRPr="003C1B5B">
        <w:rPr>
          <w:rStyle w:val="Enfasicorsivo"/>
          <w:sz w:val="22"/>
          <w:szCs w:val="22"/>
          <w:lang w:val="it-IT"/>
        </w:rPr>
        <w:t>ioramenti significati</w:t>
      </w:r>
      <w:r w:rsidR="00FF2FAA" w:rsidRPr="003C1B5B">
        <w:rPr>
          <w:rStyle w:val="Enfasicorsivo"/>
          <w:sz w:val="22"/>
          <w:szCs w:val="22"/>
          <w:lang w:val="it-IT"/>
        </w:rPr>
        <w:t>v</w:t>
      </w:r>
      <w:r w:rsidRPr="003C1B5B">
        <w:rPr>
          <w:rStyle w:val="Enfasicorsivo"/>
          <w:sz w:val="22"/>
          <w:szCs w:val="22"/>
          <w:lang w:val="it-IT"/>
        </w:rPr>
        <w:t xml:space="preserve">i sono stati raggiunti in tutti gli endpoint secondari, inclusi il tempo al primo evento scheletrico sintomatico, il tasso di risposta </w:t>
      </w:r>
      <w:r w:rsidR="00F70DA4" w:rsidRPr="003C1B5B">
        <w:rPr>
          <w:rStyle w:val="Enfasicorsivo"/>
          <w:sz w:val="22"/>
          <w:szCs w:val="22"/>
          <w:lang w:val="it-IT"/>
        </w:rPr>
        <w:t>global</w:t>
      </w:r>
      <w:r w:rsidR="00522E44">
        <w:rPr>
          <w:rStyle w:val="Enfasicorsivo"/>
          <w:sz w:val="22"/>
          <w:szCs w:val="22"/>
          <w:lang w:val="it-IT"/>
        </w:rPr>
        <w:t>e</w:t>
      </w:r>
      <w:r w:rsidR="00FF2FAA" w:rsidRPr="003C1B5B">
        <w:rPr>
          <w:rStyle w:val="Enfasicorsivo"/>
          <w:sz w:val="22"/>
          <w:szCs w:val="22"/>
          <w:lang w:val="it-IT"/>
        </w:rPr>
        <w:t xml:space="preserve"> </w:t>
      </w:r>
      <w:r w:rsidRPr="003C1B5B">
        <w:rPr>
          <w:rStyle w:val="Enfasicorsivo"/>
          <w:sz w:val="22"/>
          <w:szCs w:val="22"/>
          <w:lang w:val="it-IT"/>
        </w:rPr>
        <w:t xml:space="preserve">e </w:t>
      </w:r>
      <w:r w:rsidR="00F70DA4" w:rsidRPr="003C1B5B">
        <w:rPr>
          <w:rStyle w:val="Enfasicorsivo"/>
          <w:sz w:val="22"/>
          <w:szCs w:val="22"/>
          <w:lang w:val="it-IT"/>
        </w:rPr>
        <w:t>il tasso di</w:t>
      </w:r>
      <w:r w:rsidRPr="003C1B5B">
        <w:rPr>
          <w:rStyle w:val="Enfasicorsivo"/>
          <w:sz w:val="22"/>
          <w:szCs w:val="22"/>
          <w:lang w:val="it-IT"/>
        </w:rPr>
        <w:t xml:space="preserve"> controllo di malattia</w:t>
      </w:r>
      <w:r w:rsidRPr="003C1B5B">
        <w:rPr>
          <w:rStyle w:val="Enfasicorsivo"/>
          <w:sz w:val="22"/>
          <w:szCs w:val="22"/>
          <w:vertAlign w:val="superscript"/>
          <w:lang w:val="it-IT"/>
        </w:rPr>
        <w:t>1</w:t>
      </w:r>
    </w:p>
    <w:p w14:paraId="6DADF4B5" w14:textId="77777777" w:rsidR="007915BA" w:rsidRPr="003C1B5B" w:rsidRDefault="007915BA" w:rsidP="007915BA">
      <w:pPr>
        <w:pStyle w:val="Paragrafoelenco"/>
        <w:rPr>
          <w:rStyle w:val="Enfasicorsivo"/>
          <w:rFonts w:ascii="Arial" w:hAnsi="Arial" w:cs="Arial"/>
          <w:color w:val="221F1F"/>
          <w:sz w:val="22"/>
          <w:szCs w:val="22"/>
          <w:shd w:val="clear" w:color="auto" w:fill="FFFFFF"/>
          <w:lang w:val="it-IT"/>
        </w:rPr>
      </w:pPr>
    </w:p>
    <w:p w14:paraId="3B6191BF" w14:textId="6046476F" w:rsidR="00FF2FAA" w:rsidRPr="003C1B5B" w:rsidRDefault="003438B0" w:rsidP="00AA1517">
      <w:pPr>
        <w:pStyle w:val="Bullets"/>
        <w:spacing w:line="220" w:lineRule="atLeast"/>
        <w:rPr>
          <w:rStyle w:val="Enfasicorsivo"/>
          <w:i w:val="0"/>
          <w:iCs w:val="0"/>
          <w:sz w:val="22"/>
          <w:szCs w:val="22"/>
          <w:lang w:val="it-IT"/>
        </w:rPr>
      </w:pPr>
      <w:r w:rsidRPr="003C1B5B">
        <w:rPr>
          <w:rStyle w:val="Enfasicorsivo"/>
          <w:rFonts w:ascii="Arial" w:hAnsi="Arial" w:cs="Arial"/>
          <w:color w:val="221F1F"/>
          <w:sz w:val="22"/>
          <w:szCs w:val="22"/>
          <w:shd w:val="clear" w:color="auto" w:fill="FFFFFF"/>
          <w:lang w:val="it-IT"/>
        </w:rPr>
        <w:t xml:space="preserve">I risultati dello studio </w:t>
      </w:r>
      <w:r w:rsidR="00E26816" w:rsidRPr="003C1B5B">
        <w:rPr>
          <w:rStyle w:val="Enfasicorsivo"/>
          <w:rFonts w:ascii="Arial" w:hAnsi="Arial" w:cs="Arial"/>
          <w:color w:val="221F1F"/>
          <w:sz w:val="22"/>
          <w:szCs w:val="22"/>
          <w:shd w:val="clear" w:color="auto" w:fill="FFFFFF"/>
          <w:lang w:val="it-IT"/>
        </w:rPr>
        <w:t xml:space="preserve">VISION </w:t>
      </w:r>
      <w:r w:rsidRPr="003C1B5B">
        <w:rPr>
          <w:rStyle w:val="Enfasicorsivo"/>
          <w:rFonts w:ascii="Arial" w:hAnsi="Arial" w:cs="Arial"/>
          <w:color w:val="221F1F"/>
          <w:sz w:val="22"/>
          <w:szCs w:val="22"/>
          <w:shd w:val="clear" w:color="auto" w:fill="FFFFFF"/>
          <w:lang w:val="it-IT"/>
        </w:rPr>
        <w:t>saranno presentati nella sessione plenaria d</w:t>
      </w:r>
      <w:r w:rsidR="00457492" w:rsidRPr="003C1B5B">
        <w:rPr>
          <w:rStyle w:val="Enfasicorsivo"/>
          <w:rFonts w:ascii="Arial" w:hAnsi="Arial" w:cs="Arial"/>
          <w:color w:val="221F1F"/>
          <w:sz w:val="22"/>
          <w:szCs w:val="22"/>
          <w:shd w:val="clear" w:color="auto" w:fill="FFFFFF"/>
          <w:lang w:val="it-IT"/>
        </w:rPr>
        <w:t>el Congresso</w:t>
      </w:r>
      <w:r w:rsidRPr="003C1B5B">
        <w:rPr>
          <w:rStyle w:val="Enfasicorsivo"/>
          <w:rFonts w:ascii="Arial" w:hAnsi="Arial" w:cs="Arial"/>
          <w:color w:val="221F1F"/>
          <w:sz w:val="22"/>
          <w:szCs w:val="22"/>
          <w:shd w:val="clear" w:color="auto" w:fill="FFFFFF"/>
          <w:lang w:val="it-IT"/>
        </w:rPr>
        <w:t xml:space="preserve"> </w:t>
      </w:r>
      <w:r w:rsidR="00766152" w:rsidRPr="003C1B5B">
        <w:rPr>
          <w:rStyle w:val="Enfasicorsivo"/>
          <w:rFonts w:ascii="Arial" w:hAnsi="Arial" w:cs="Arial"/>
          <w:color w:val="221F1F"/>
          <w:sz w:val="22"/>
          <w:szCs w:val="22"/>
          <w:shd w:val="clear" w:color="auto" w:fill="FFFFFF"/>
          <w:lang w:val="it-IT"/>
        </w:rPr>
        <w:t xml:space="preserve">ASCO </w:t>
      </w:r>
      <w:r w:rsidRPr="003C1B5B">
        <w:rPr>
          <w:rStyle w:val="Enfasicorsivo"/>
          <w:rFonts w:ascii="Arial" w:hAnsi="Arial" w:cs="Arial"/>
          <w:color w:val="221F1F"/>
          <w:sz w:val="22"/>
          <w:szCs w:val="22"/>
          <w:shd w:val="clear" w:color="auto" w:fill="FFFFFF"/>
          <w:lang w:val="it-IT"/>
        </w:rPr>
        <w:t>2021</w:t>
      </w:r>
      <w:r w:rsidR="00E26816" w:rsidRPr="003C1B5B">
        <w:rPr>
          <w:rStyle w:val="Enfasicorsivo"/>
          <w:rFonts w:ascii="Arial" w:hAnsi="Arial" w:cs="Arial"/>
          <w:color w:val="221F1F"/>
          <w:sz w:val="22"/>
          <w:szCs w:val="22"/>
          <w:shd w:val="clear" w:color="auto" w:fill="FFFFFF"/>
          <w:lang w:val="it-IT"/>
        </w:rPr>
        <w:t xml:space="preserve">; </w:t>
      </w:r>
      <w:r w:rsidRPr="003C1B5B">
        <w:rPr>
          <w:rStyle w:val="Enfasicorsivo"/>
          <w:rFonts w:ascii="Arial" w:hAnsi="Arial" w:cs="Arial"/>
          <w:color w:val="221F1F"/>
          <w:sz w:val="22"/>
          <w:szCs w:val="22"/>
          <w:shd w:val="clear" w:color="auto" w:fill="FFFFFF"/>
          <w:lang w:val="it-IT"/>
        </w:rPr>
        <w:t xml:space="preserve">le </w:t>
      </w:r>
      <w:r w:rsidR="00FF2FAA" w:rsidRPr="003C1B5B">
        <w:rPr>
          <w:rStyle w:val="Enfasicorsivo"/>
          <w:rFonts w:ascii="Arial" w:hAnsi="Arial" w:cs="Arial"/>
          <w:color w:val="221F1F"/>
          <w:sz w:val="22"/>
          <w:szCs w:val="22"/>
          <w:shd w:val="clear" w:color="auto" w:fill="FFFFFF"/>
          <w:lang w:val="it-IT"/>
        </w:rPr>
        <w:t>sottomissioni</w:t>
      </w:r>
      <w:r w:rsidRPr="003C1B5B">
        <w:rPr>
          <w:rStyle w:val="Enfasicorsivo"/>
          <w:rFonts w:ascii="Arial" w:hAnsi="Arial" w:cs="Arial"/>
          <w:color w:val="221F1F"/>
          <w:sz w:val="22"/>
          <w:szCs w:val="22"/>
          <w:shd w:val="clear" w:color="auto" w:fill="FFFFFF"/>
          <w:lang w:val="it-IT"/>
        </w:rPr>
        <w:t xml:space="preserve"> all</w:t>
      </w:r>
      <w:r w:rsidR="00FF2FAA" w:rsidRPr="003C1B5B">
        <w:rPr>
          <w:rStyle w:val="Enfasicorsivo"/>
          <w:rFonts w:ascii="Arial" w:hAnsi="Arial" w:cs="Arial"/>
          <w:color w:val="221F1F"/>
          <w:sz w:val="22"/>
          <w:szCs w:val="22"/>
          <w:shd w:val="clear" w:color="auto" w:fill="FFFFFF"/>
          <w:lang w:val="it-IT"/>
        </w:rPr>
        <w:t>’</w:t>
      </w:r>
      <w:r w:rsidRPr="003C1B5B">
        <w:rPr>
          <w:rStyle w:val="Enfasicorsivo"/>
          <w:rFonts w:ascii="Arial" w:hAnsi="Arial" w:cs="Arial"/>
          <w:color w:val="221F1F"/>
          <w:sz w:val="22"/>
          <w:szCs w:val="22"/>
          <w:shd w:val="clear" w:color="auto" w:fill="FFFFFF"/>
          <w:lang w:val="it-IT"/>
        </w:rPr>
        <w:t xml:space="preserve">autorità </w:t>
      </w:r>
      <w:r w:rsidR="00FF2FAA" w:rsidRPr="003C1B5B">
        <w:rPr>
          <w:rStyle w:val="Enfasicorsivo"/>
          <w:rFonts w:ascii="Arial" w:hAnsi="Arial" w:cs="Arial"/>
          <w:color w:val="221F1F"/>
          <w:sz w:val="22"/>
          <w:szCs w:val="22"/>
          <w:shd w:val="clear" w:color="auto" w:fill="FFFFFF"/>
          <w:lang w:val="it-IT"/>
        </w:rPr>
        <w:t>regolatoria</w:t>
      </w:r>
      <w:r w:rsidRPr="003C1B5B">
        <w:rPr>
          <w:rStyle w:val="Enfasicorsivo"/>
          <w:rFonts w:ascii="Arial" w:hAnsi="Arial" w:cs="Arial"/>
          <w:color w:val="221F1F"/>
          <w:sz w:val="22"/>
          <w:szCs w:val="22"/>
          <w:shd w:val="clear" w:color="auto" w:fill="FFFFFF"/>
          <w:lang w:val="it-IT"/>
        </w:rPr>
        <w:t xml:space="preserve"> </w:t>
      </w:r>
      <w:r w:rsidR="00457492" w:rsidRPr="003C1B5B">
        <w:rPr>
          <w:rStyle w:val="Enfasicorsivo"/>
          <w:rFonts w:ascii="Arial" w:hAnsi="Arial" w:cs="Arial"/>
          <w:color w:val="221F1F"/>
          <w:sz w:val="22"/>
          <w:szCs w:val="22"/>
          <w:shd w:val="clear" w:color="auto" w:fill="FFFFFF"/>
          <w:lang w:val="it-IT"/>
        </w:rPr>
        <w:t>americana</w:t>
      </w:r>
      <w:r w:rsidR="00E26816" w:rsidRPr="003C1B5B">
        <w:rPr>
          <w:rStyle w:val="Enfasicorsivo"/>
          <w:rFonts w:ascii="Arial" w:hAnsi="Arial" w:cs="Arial"/>
          <w:color w:val="221F1F"/>
          <w:sz w:val="22"/>
          <w:szCs w:val="22"/>
          <w:shd w:val="clear" w:color="auto" w:fill="FFFFFF"/>
          <w:lang w:val="it-IT"/>
        </w:rPr>
        <w:t xml:space="preserve"> </w:t>
      </w:r>
      <w:r w:rsidRPr="003C1B5B">
        <w:rPr>
          <w:rStyle w:val="Enfasicorsivo"/>
          <w:rFonts w:ascii="Arial" w:hAnsi="Arial" w:cs="Arial"/>
          <w:color w:val="221F1F"/>
          <w:sz w:val="22"/>
          <w:szCs w:val="22"/>
          <w:shd w:val="clear" w:color="auto" w:fill="FFFFFF"/>
          <w:lang w:val="it-IT"/>
        </w:rPr>
        <w:t>e</w:t>
      </w:r>
      <w:r w:rsidR="00457492" w:rsidRPr="003C1B5B">
        <w:rPr>
          <w:rStyle w:val="Enfasicorsivo"/>
          <w:rFonts w:ascii="Arial" w:hAnsi="Arial" w:cs="Arial"/>
          <w:color w:val="221F1F"/>
          <w:sz w:val="22"/>
          <w:szCs w:val="22"/>
          <w:shd w:val="clear" w:color="auto" w:fill="FFFFFF"/>
          <w:lang w:val="it-IT"/>
        </w:rPr>
        <w:t>d europea</w:t>
      </w:r>
      <w:r w:rsidR="00E26816" w:rsidRPr="003C1B5B">
        <w:rPr>
          <w:rStyle w:val="Enfasicorsivo"/>
          <w:rFonts w:ascii="Arial" w:hAnsi="Arial" w:cs="Arial"/>
          <w:color w:val="221F1F"/>
          <w:sz w:val="22"/>
          <w:szCs w:val="22"/>
          <w:shd w:val="clear" w:color="auto" w:fill="FFFFFF"/>
          <w:lang w:val="it-IT"/>
        </w:rPr>
        <w:t xml:space="preserve"> </w:t>
      </w:r>
      <w:r w:rsidR="00FF2FAA" w:rsidRPr="003C1B5B">
        <w:rPr>
          <w:rStyle w:val="Enfasicorsivo"/>
          <w:rFonts w:ascii="Arial" w:hAnsi="Arial" w:cs="Arial"/>
          <w:color w:val="221F1F"/>
          <w:sz w:val="22"/>
          <w:szCs w:val="22"/>
          <w:shd w:val="clear" w:color="auto" w:fill="FFFFFF"/>
          <w:lang w:val="it-IT"/>
        </w:rPr>
        <w:t xml:space="preserve">sono previste </w:t>
      </w:r>
      <w:r w:rsidR="00B2048F" w:rsidRPr="003C1B5B">
        <w:rPr>
          <w:rStyle w:val="Enfasicorsivo"/>
          <w:rFonts w:ascii="Arial" w:hAnsi="Arial" w:cs="Arial"/>
          <w:color w:val="221F1F"/>
          <w:sz w:val="22"/>
          <w:szCs w:val="22"/>
          <w:shd w:val="clear" w:color="auto" w:fill="FFFFFF"/>
          <w:lang w:val="it-IT"/>
        </w:rPr>
        <w:t>nella</w:t>
      </w:r>
      <w:r w:rsidR="00B2048F" w:rsidRPr="003C1B5B">
        <w:rPr>
          <w:rStyle w:val="Enfasicorsivo"/>
          <w:rFonts w:ascii="Arial" w:hAnsi="Arial" w:cs="Arial"/>
          <w:sz w:val="22"/>
          <w:szCs w:val="22"/>
          <w:shd w:val="clear" w:color="auto" w:fill="FFFFFF"/>
          <w:lang w:val="it-IT"/>
        </w:rPr>
        <w:t xml:space="preserve"> seconda metà del 2021</w:t>
      </w:r>
      <w:r w:rsidRPr="003C1B5B">
        <w:rPr>
          <w:rStyle w:val="Enfasicorsivo"/>
          <w:rFonts w:ascii="Arial" w:hAnsi="Arial" w:cs="Arial"/>
          <w:color w:val="FF0000"/>
          <w:sz w:val="22"/>
          <w:szCs w:val="22"/>
          <w:shd w:val="clear" w:color="auto" w:fill="FFFFFF"/>
          <w:lang w:val="it-IT"/>
        </w:rPr>
        <w:t xml:space="preserve"> </w:t>
      </w:r>
      <w:r w:rsidRPr="003C1B5B">
        <w:rPr>
          <w:rStyle w:val="Enfasicorsivo"/>
          <w:rFonts w:ascii="Arial" w:hAnsi="Arial" w:cs="Arial"/>
          <w:sz w:val="22"/>
          <w:szCs w:val="22"/>
          <w:shd w:val="clear" w:color="auto" w:fill="FFFFFF"/>
          <w:lang w:val="it-IT"/>
        </w:rPr>
        <w:t>e</w:t>
      </w:r>
      <w:r w:rsidR="00FF2FAA" w:rsidRPr="003C1B5B">
        <w:rPr>
          <w:rStyle w:val="Enfasicorsivo"/>
          <w:rFonts w:ascii="Arial" w:hAnsi="Arial" w:cs="Arial"/>
          <w:sz w:val="22"/>
          <w:szCs w:val="22"/>
          <w:shd w:val="clear" w:color="auto" w:fill="FFFFFF"/>
          <w:lang w:val="it-IT"/>
        </w:rPr>
        <w:t xml:space="preserve"> in fase di avvio 2</w:t>
      </w:r>
      <w:r w:rsidR="001C0E4E" w:rsidRPr="003C1B5B">
        <w:rPr>
          <w:rStyle w:val="Enfasicorsivo"/>
          <w:rFonts w:ascii="Arial" w:hAnsi="Arial" w:cs="Arial"/>
          <w:sz w:val="22"/>
          <w:szCs w:val="22"/>
          <w:shd w:val="clear" w:color="auto" w:fill="FFFFFF"/>
          <w:lang w:val="it-IT"/>
        </w:rPr>
        <w:t xml:space="preserve"> studi aggiuntivi nelle prime linee d</w:t>
      </w:r>
      <w:r w:rsidR="0087237D" w:rsidRPr="003C1B5B">
        <w:rPr>
          <w:rStyle w:val="Enfasicorsivo"/>
          <w:rFonts w:ascii="Arial" w:hAnsi="Arial" w:cs="Arial"/>
          <w:sz w:val="22"/>
          <w:szCs w:val="22"/>
          <w:shd w:val="clear" w:color="auto" w:fill="FFFFFF"/>
          <w:lang w:val="it-IT"/>
        </w:rPr>
        <w:t>el</w:t>
      </w:r>
      <w:r w:rsidR="001C0E4E" w:rsidRPr="003C1B5B">
        <w:rPr>
          <w:rStyle w:val="Enfasicorsivo"/>
          <w:rFonts w:ascii="Arial" w:hAnsi="Arial" w:cs="Arial"/>
          <w:sz w:val="22"/>
          <w:szCs w:val="22"/>
          <w:shd w:val="clear" w:color="auto" w:fill="FFFFFF"/>
          <w:lang w:val="it-IT"/>
        </w:rPr>
        <w:t xml:space="preserve"> tumore della prostata metastatic</w:t>
      </w:r>
      <w:r w:rsidR="00FF2FAA" w:rsidRPr="003C1B5B">
        <w:rPr>
          <w:rStyle w:val="Enfasicorsivo"/>
          <w:rFonts w:ascii="Arial" w:hAnsi="Arial" w:cs="Arial"/>
          <w:sz w:val="22"/>
          <w:szCs w:val="22"/>
          <w:shd w:val="clear" w:color="auto" w:fill="FFFFFF"/>
          <w:lang w:val="it-IT"/>
        </w:rPr>
        <w:t>o, con l’obiettivo di muoversi verso le fasi più precoci della malattia</w:t>
      </w:r>
    </w:p>
    <w:p w14:paraId="032F69C9" w14:textId="77777777" w:rsidR="00FF2FAA" w:rsidRPr="003C1B5B" w:rsidRDefault="00FF2FAA" w:rsidP="00FF2FAA">
      <w:pPr>
        <w:pStyle w:val="Bullets"/>
        <w:numPr>
          <w:ilvl w:val="0"/>
          <w:numId w:val="0"/>
        </w:numPr>
        <w:spacing w:line="220" w:lineRule="atLeast"/>
        <w:rPr>
          <w:rStyle w:val="Enfasicorsivo"/>
          <w:i w:val="0"/>
          <w:iCs w:val="0"/>
          <w:sz w:val="22"/>
          <w:szCs w:val="22"/>
          <w:lang w:val="it-IT"/>
        </w:rPr>
      </w:pPr>
    </w:p>
    <w:p w14:paraId="1197D678" w14:textId="2BADB232" w:rsidR="00A331D1" w:rsidRPr="003C1B5B" w:rsidRDefault="001C0E4E" w:rsidP="00CC19AA">
      <w:pPr>
        <w:pStyle w:val="Bullets"/>
        <w:rPr>
          <w:rStyle w:val="Enfasicorsivo"/>
          <w:sz w:val="22"/>
          <w:szCs w:val="22"/>
          <w:lang w:val="it-IT"/>
        </w:rPr>
      </w:pPr>
      <w:r w:rsidRPr="003C1B5B">
        <w:rPr>
          <w:rStyle w:val="Enfasicorsivo"/>
          <w:sz w:val="22"/>
          <w:szCs w:val="22"/>
          <w:lang w:val="it-IT"/>
        </w:rPr>
        <w:t>L’impegno di N</w:t>
      </w:r>
      <w:r w:rsidR="00BE4939" w:rsidRPr="003C1B5B">
        <w:rPr>
          <w:rStyle w:val="Enfasicorsivo"/>
          <w:sz w:val="22"/>
          <w:szCs w:val="22"/>
          <w:lang w:val="it-IT"/>
        </w:rPr>
        <w:t xml:space="preserve">ovartis </w:t>
      </w:r>
      <w:r w:rsidRPr="003C1B5B">
        <w:rPr>
          <w:rStyle w:val="Enfasicorsivo"/>
          <w:sz w:val="22"/>
          <w:szCs w:val="22"/>
          <w:lang w:val="it-IT"/>
        </w:rPr>
        <w:t xml:space="preserve">nella </w:t>
      </w:r>
      <w:r w:rsidR="00BE4939" w:rsidRPr="003C1B5B">
        <w:rPr>
          <w:rStyle w:val="Enfasicorsivo"/>
          <w:sz w:val="22"/>
          <w:szCs w:val="22"/>
          <w:lang w:val="it-IT"/>
        </w:rPr>
        <w:t xml:space="preserve">leadership </w:t>
      </w:r>
      <w:r w:rsidRPr="003C1B5B">
        <w:rPr>
          <w:rStyle w:val="Enfasicorsivo"/>
          <w:sz w:val="22"/>
          <w:szCs w:val="22"/>
          <w:lang w:val="it-IT"/>
        </w:rPr>
        <w:t xml:space="preserve">della terapia con radioligando </w:t>
      </w:r>
      <w:r w:rsidR="00844D15" w:rsidRPr="003C1B5B">
        <w:rPr>
          <w:rStyle w:val="Enfasicorsivo"/>
          <w:sz w:val="22"/>
          <w:szCs w:val="22"/>
          <w:lang w:val="it-IT"/>
        </w:rPr>
        <w:t>(RLT)</w:t>
      </w:r>
      <w:r w:rsidRPr="003C1B5B">
        <w:rPr>
          <w:rStyle w:val="Enfasicorsivo"/>
          <w:sz w:val="22"/>
          <w:szCs w:val="22"/>
          <w:lang w:val="it-IT"/>
        </w:rPr>
        <w:t xml:space="preserve"> rafforzato ul</w:t>
      </w:r>
      <w:r w:rsidR="00FF2FAA" w:rsidRPr="003C1B5B">
        <w:rPr>
          <w:rStyle w:val="Enfasicorsivo"/>
          <w:sz w:val="22"/>
          <w:szCs w:val="22"/>
          <w:lang w:val="it-IT"/>
        </w:rPr>
        <w:t>t</w:t>
      </w:r>
      <w:r w:rsidRPr="003C1B5B">
        <w:rPr>
          <w:rStyle w:val="Enfasicorsivo"/>
          <w:sz w:val="22"/>
          <w:szCs w:val="22"/>
          <w:lang w:val="it-IT"/>
        </w:rPr>
        <w:t xml:space="preserve">eriormente dalle recenti </w:t>
      </w:r>
      <w:r w:rsidR="00A331D1" w:rsidRPr="003C1B5B">
        <w:rPr>
          <w:rStyle w:val="Enfasicorsivo"/>
          <w:sz w:val="22"/>
          <w:szCs w:val="22"/>
          <w:lang w:val="it-IT"/>
        </w:rPr>
        <w:t>partnership</w:t>
      </w:r>
      <w:r w:rsidRPr="003C1B5B">
        <w:rPr>
          <w:rStyle w:val="Enfasicorsivo"/>
          <w:sz w:val="22"/>
          <w:szCs w:val="22"/>
          <w:lang w:val="it-IT"/>
        </w:rPr>
        <w:t xml:space="preserve"> e dagli investimenti</w:t>
      </w:r>
      <w:r w:rsidR="00BE4939" w:rsidRPr="003C1B5B">
        <w:rPr>
          <w:rStyle w:val="Enfasicorsivo"/>
          <w:sz w:val="22"/>
          <w:szCs w:val="22"/>
          <w:lang w:val="it-IT"/>
        </w:rPr>
        <w:t>;</w:t>
      </w:r>
      <w:r w:rsidRPr="003C1B5B">
        <w:rPr>
          <w:rStyle w:val="Enfasicorsivo"/>
          <w:sz w:val="22"/>
          <w:szCs w:val="22"/>
          <w:lang w:val="it-IT"/>
        </w:rPr>
        <w:t xml:space="preserve"> più di </w:t>
      </w:r>
      <w:r w:rsidR="00A331D1" w:rsidRPr="003C1B5B">
        <w:rPr>
          <w:rStyle w:val="Enfasicorsivo"/>
          <w:sz w:val="22"/>
          <w:szCs w:val="22"/>
          <w:lang w:val="it-IT"/>
        </w:rPr>
        <w:t xml:space="preserve">15 </w:t>
      </w:r>
      <w:r w:rsidR="00B85C66" w:rsidRPr="003C1B5B">
        <w:rPr>
          <w:rStyle w:val="Enfasicorsivo"/>
          <w:sz w:val="22"/>
          <w:szCs w:val="22"/>
          <w:lang w:val="it-IT"/>
        </w:rPr>
        <w:t xml:space="preserve">programmi di ricerca </w:t>
      </w:r>
      <w:r w:rsidRPr="003C1B5B">
        <w:rPr>
          <w:rStyle w:val="Enfasicorsivo"/>
          <w:sz w:val="22"/>
          <w:szCs w:val="22"/>
          <w:lang w:val="it-IT"/>
        </w:rPr>
        <w:t xml:space="preserve">in </w:t>
      </w:r>
      <w:r w:rsidR="00F6702C">
        <w:rPr>
          <w:rStyle w:val="Enfasicorsivo"/>
          <w:sz w:val="22"/>
          <w:szCs w:val="22"/>
          <w:lang w:val="it-IT"/>
        </w:rPr>
        <w:t>corso</w:t>
      </w:r>
      <w:r w:rsidRPr="003C1B5B">
        <w:rPr>
          <w:rStyle w:val="Enfasicorsivo"/>
          <w:sz w:val="22"/>
          <w:szCs w:val="22"/>
          <w:lang w:val="it-IT"/>
        </w:rPr>
        <w:t xml:space="preserve"> </w:t>
      </w:r>
      <w:r w:rsidR="00B85C66" w:rsidRPr="003C1B5B">
        <w:rPr>
          <w:rStyle w:val="Enfasicorsivo"/>
          <w:sz w:val="22"/>
          <w:szCs w:val="22"/>
          <w:lang w:val="it-IT"/>
        </w:rPr>
        <w:t>per identificare e accelerare</w:t>
      </w:r>
      <w:r w:rsidR="00F6702C">
        <w:rPr>
          <w:rStyle w:val="Enfasicorsivo"/>
          <w:sz w:val="22"/>
          <w:szCs w:val="22"/>
          <w:lang w:val="it-IT"/>
        </w:rPr>
        <w:t xml:space="preserve"> la nuova era dell</w:t>
      </w:r>
      <w:r w:rsidR="00B85C66" w:rsidRPr="003C1B5B">
        <w:rPr>
          <w:rStyle w:val="Enfasicorsivo"/>
          <w:sz w:val="22"/>
          <w:szCs w:val="22"/>
          <w:lang w:val="it-IT"/>
        </w:rPr>
        <w:t xml:space="preserve">e terapie con radioligando nei tumori </w:t>
      </w:r>
    </w:p>
    <w:p w14:paraId="090B73F7" w14:textId="77777777" w:rsidR="00E26816" w:rsidRPr="003C1B5B" w:rsidRDefault="00E26816" w:rsidP="00E26816">
      <w:pPr>
        <w:pStyle w:val="Paragrafoelenco"/>
        <w:rPr>
          <w:sz w:val="32"/>
          <w:szCs w:val="32"/>
          <w:lang w:val="it-IT"/>
        </w:rPr>
      </w:pPr>
    </w:p>
    <w:p w14:paraId="488B6D85" w14:textId="77777777" w:rsidR="007915BA" w:rsidRPr="003C1B5B" w:rsidRDefault="00B16A23" w:rsidP="00457492">
      <w:pPr>
        <w:jc w:val="both"/>
        <w:rPr>
          <w:lang w:val="it-IT"/>
        </w:rPr>
      </w:pPr>
      <w:bookmarkStart w:id="0" w:name="_Hlk70500723"/>
      <w:r w:rsidRPr="003C1B5B">
        <w:rPr>
          <w:b/>
          <w:lang w:val="it-IT"/>
        </w:rPr>
        <w:t>Origgio</w:t>
      </w:r>
      <w:r w:rsidR="00E26816" w:rsidRPr="003C1B5B">
        <w:rPr>
          <w:b/>
          <w:lang w:val="it-IT"/>
        </w:rPr>
        <w:t xml:space="preserve">, </w:t>
      </w:r>
      <w:r w:rsidR="00B85C66" w:rsidRPr="003C1B5B">
        <w:rPr>
          <w:b/>
          <w:lang w:val="it-IT"/>
        </w:rPr>
        <w:t xml:space="preserve">3 </w:t>
      </w:r>
      <w:r w:rsidR="00457492" w:rsidRPr="003C1B5B">
        <w:rPr>
          <w:b/>
          <w:lang w:val="it-IT"/>
        </w:rPr>
        <w:t>g</w:t>
      </w:r>
      <w:r w:rsidR="00B85C66" w:rsidRPr="003C1B5B">
        <w:rPr>
          <w:b/>
          <w:lang w:val="it-IT"/>
        </w:rPr>
        <w:t xml:space="preserve">iugno </w:t>
      </w:r>
      <w:r w:rsidR="00E26816" w:rsidRPr="003C1B5B">
        <w:rPr>
          <w:b/>
          <w:lang w:val="it-IT"/>
        </w:rPr>
        <w:t>2021</w:t>
      </w:r>
      <w:r w:rsidR="00E26816" w:rsidRPr="003C1B5B">
        <w:rPr>
          <w:lang w:val="it-IT"/>
        </w:rPr>
        <w:t xml:space="preserve"> — </w:t>
      </w:r>
    </w:p>
    <w:p w14:paraId="27F5637B" w14:textId="2B946730" w:rsidR="007915BA" w:rsidRPr="003C1B5B" w:rsidRDefault="007915BA" w:rsidP="007915BA">
      <w:pPr>
        <w:jc w:val="both"/>
        <w:rPr>
          <w:lang w:val="it-IT"/>
        </w:rPr>
      </w:pPr>
      <w:r w:rsidRPr="003C1B5B">
        <w:rPr>
          <w:lang w:val="it-IT"/>
        </w:rPr>
        <w:t xml:space="preserve">Passi in avanti nel trattamento del tumore della prostata metastatico resistente alla castrazione. Una nuova terapia mirata con radioligando. Novartis annuncia oggi i risultati dello studio di Fase III VISION che ha valutato </w:t>
      </w:r>
      <w:r w:rsidRPr="003C1B5B">
        <w:rPr>
          <w:vertAlign w:val="superscript"/>
          <w:lang w:val="it-IT"/>
        </w:rPr>
        <w:t>177</w:t>
      </w:r>
      <w:r w:rsidRPr="003C1B5B">
        <w:rPr>
          <w:lang w:val="it-IT"/>
        </w:rPr>
        <w:t>Lu-PSMA-617 in aggiunta al migliore standard di cura (SOC) dimostrando un miglioramento significativo della sopravvivenza globale (OS) rispetto al solo standard di cura (SOC), nei pazienti con carcinoma della prostata progressivo metastatico resistente alla castrazione (mCRPC)</w:t>
      </w:r>
      <w:r w:rsidRPr="003C1B5B">
        <w:rPr>
          <w:vertAlign w:val="superscript"/>
          <w:lang w:val="it-IT"/>
        </w:rPr>
        <w:t>1</w:t>
      </w:r>
      <w:r w:rsidRPr="003C1B5B">
        <w:rPr>
          <w:lang w:val="it-IT"/>
        </w:rPr>
        <w:t>, positivo all’antigene di membrana specifico della prostata (PSMA).</w:t>
      </w:r>
    </w:p>
    <w:p w14:paraId="0BF62933" w14:textId="3AA816CD" w:rsidR="007915BA" w:rsidRPr="003C1B5B" w:rsidRDefault="007915BA" w:rsidP="007915BA">
      <w:pPr>
        <w:jc w:val="both"/>
        <w:rPr>
          <w:lang w:val="it-IT"/>
        </w:rPr>
      </w:pPr>
      <w:r w:rsidRPr="003C1B5B">
        <w:rPr>
          <w:vertAlign w:val="superscript"/>
          <w:lang w:val="it-IT"/>
        </w:rPr>
        <w:t>177</w:t>
      </w:r>
      <w:r w:rsidRPr="003C1B5B">
        <w:rPr>
          <w:lang w:val="it-IT"/>
        </w:rPr>
        <w:t>Lu-PSMA-617 è in grado di ridurre del 38% il rischio di morte</w:t>
      </w:r>
      <w:r w:rsidR="00F70DA4" w:rsidRPr="003C1B5B">
        <w:rPr>
          <w:vertAlign w:val="superscript"/>
          <w:lang w:val="it-IT"/>
        </w:rPr>
        <w:t>1</w:t>
      </w:r>
      <w:r w:rsidRPr="003C1B5B">
        <w:rPr>
          <w:lang w:val="it-IT"/>
        </w:rPr>
        <w:t xml:space="preserve">. La differenza nella sopravvivenza globale tra i bracci dello studio è risultata statisticamente significativa (p&lt;0,001 unilaterale), con una riduzione stimata del 38% del rischio di morte nel braccio con </w:t>
      </w:r>
      <w:r w:rsidRPr="003C1B5B">
        <w:rPr>
          <w:vertAlign w:val="superscript"/>
          <w:lang w:val="it-IT"/>
        </w:rPr>
        <w:t>177</w:t>
      </w:r>
      <w:r w:rsidRPr="003C1B5B">
        <w:rPr>
          <w:lang w:val="it-IT"/>
        </w:rPr>
        <w:t xml:space="preserve">Lu-PSMA-617 (n=551) rispetto al braccio con il solo miglior standard di cura (n=280) (rapporto di rischio: </w:t>
      </w:r>
      <w:r w:rsidRPr="003C1B5B">
        <w:rPr>
          <w:lang w:val="it-IT"/>
        </w:rPr>
        <w:lastRenderedPageBreak/>
        <w:t>0,62 con intervallo di confidenza (CI) 95%: (0,52, 0,74))</w:t>
      </w:r>
      <w:r w:rsidRPr="003C1B5B">
        <w:rPr>
          <w:vertAlign w:val="superscript"/>
          <w:lang w:val="it-IT"/>
        </w:rPr>
        <w:t>1</w:t>
      </w:r>
      <w:r w:rsidRPr="003C1B5B">
        <w:rPr>
          <w:lang w:val="it-IT"/>
        </w:rPr>
        <w:t>. I risultati saranno presentati il 6 giugno durante la sessione plenaria del Congresso 2021 dell’American Society of Clinical Oncology (ASCO).</w:t>
      </w:r>
    </w:p>
    <w:p w14:paraId="04754103" w14:textId="77777777" w:rsidR="007915BA" w:rsidRPr="003C1B5B" w:rsidRDefault="007915BA" w:rsidP="00457492">
      <w:pPr>
        <w:jc w:val="both"/>
        <w:rPr>
          <w:lang w:val="it-IT"/>
        </w:rPr>
      </w:pPr>
    </w:p>
    <w:p w14:paraId="5DDF3F9B" w14:textId="786B3A2F" w:rsidR="00B02708" w:rsidRPr="003C1B5B" w:rsidRDefault="00C23DB5" w:rsidP="00457492">
      <w:pPr>
        <w:jc w:val="both"/>
        <w:rPr>
          <w:lang w:val="it-IT"/>
        </w:rPr>
      </w:pPr>
      <w:r w:rsidRPr="003C1B5B">
        <w:rPr>
          <w:lang w:val="it-IT"/>
        </w:rPr>
        <w:t xml:space="preserve">I pazienti trattati con </w:t>
      </w:r>
      <w:r w:rsidR="00670E2C" w:rsidRPr="003C1B5B">
        <w:rPr>
          <w:vertAlign w:val="superscript"/>
          <w:lang w:val="it-IT"/>
        </w:rPr>
        <w:t>177</w:t>
      </w:r>
      <w:r w:rsidR="00670E2C" w:rsidRPr="003C1B5B">
        <w:rPr>
          <w:lang w:val="it-IT"/>
        </w:rPr>
        <w:t xml:space="preserve">Lu-PSMA-617 </w:t>
      </w:r>
      <w:r w:rsidRPr="003C1B5B">
        <w:rPr>
          <w:lang w:val="it-IT"/>
        </w:rPr>
        <w:t>hanno inoltre dimostrato un</w:t>
      </w:r>
      <w:r w:rsidR="0087237D" w:rsidRPr="003C1B5B">
        <w:rPr>
          <w:lang w:val="it-IT"/>
        </w:rPr>
        <w:t>a</w:t>
      </w:r>
      <w:r w:rsidRPr="003C1B5B">
        <w:rPr>
          <w:lang w:val="it-IT"/>
        </w:rPr>
        <w:t xml:space="preserve"> riduzione statisticamente significativa </w:t>
      </w:r>
      <w:r w:rsidR="00670E2C" w:rsidRPr="003C1B5B">
        <w:rPr>
          <w:lang w:val="it-IT"/>
        </w:rPr>
        <w:t>(p&lt;0</w:t>
      </w:r>
      <w:r w:rsidRPr="003C1B5B">
        <w:rPr>
          <w:lang w:val="it-IT"/>
        </w:rPr>
        <w:t>,</w:t>
      </w:r>
      <w:r w:rsidR="00670E2C" w:rsidRPr="003C1B5B">
        <w:rPr>
          <w:lang w:val="it-IT"/>
        </w:rPr>
        <w:t>001</w:t>
      </w:r>
      <w:r w:rsidR="005D2409" w:rsidRPr="003C1B5B">
        <w:rPr>
          <w:lang w:val="it-IT"/>
        </w:rPr>
        <w:t xml:space="preserve"> unilaterale</w:t>
      </w:r>
      <w:r w:rsidR="00670E2C" w:rsidRPr="003C1B5B">
        <w:rPr>
          <w:lang w:val="it-IT"/>
        </w:rPr>
        <w:t xml:space="preserve">) </w:t>
      </w:r>
      <w:r w:rsidR="005D2409" w:rsidRPr="003C1B5B">
        <w:rPr>
          <w:lang w:val="it-IT"/>
        </w:rPr>
        <w:t xml:space="preserve">del </w:t>
      </w:r>
      <w:r w:rsidR="00670E2C" w:rsidRPr="003C1B5B">
        <w:rPr>
          <w:lang w:val="it-IT"/>
        </w:rPr>
        <w:t xml:space="preserve">60% </w:t>
      </w:r>
      <w:r w:rsidRPr="003C1B5B">
        <w:rPr>
          <w:lang w:val="it-IT"/>
        </w:rPr>
        <w:t>del rischio d</w:t>
      </w:r>
      <w:r w:rsidR="00FF2FAA" w:rsidRPr="003C1B5B">
        <w:rPr>
          <w:lang w:val="it-IT"/>
        </w:rPr>
        <w:t xml:space="preserve">i </w:t>
      </w:r>
      <w:r w:rsidR="00271086" w:rsidRPr="003C1B5B">
        <w:rPr>
          <w:lang w:val="it-IT"/>
        </w:rPr>
        <w:t xml:space="preserve">progressione </w:t>
      </w:r>
      <w:r w:rsidR="007915BA" w:rsidRPr="003C1B5B">
        <w:rPr>
          <w:lang w:val="it-IT"/>
        </w:rPr>
        <w:t>radiografica</w:t>
      </w:r>
      <w:r w:rsidRPr="003C1B5B">
        <w:rPr>
          <w:lang w:val="it-IT"/>
        </w:rPr>
        <w:t xml:space="preserve"> </w:t>
      </w:r>
      <w:r w:rsidR="00FF2FAA" w:rsidRPr="003C1B5B">
        <w:rPr>
          <w:lang w:val="it-IT"/>
        </w:rPr>
        <w:t xml:space="preserve">(rPFS) </w:t>
      </w:r>
      <w:r w:rsidRPr="003C1B5B">
        <w:rPr>
          <w:lang w:val="it-IT"/>
        </w:rPr>
        <w:t xml:space="preserve">rispetto al braccio con il solo miglior standard di cura </w:t>
      </w:r>
      <w:r w:rsidR="00670E2C" w:rsidRPr="003C1B5B">
        <w:rPr>
          <w:lang w:val="it-IT"/>
        </w:rPr>
        <w:t>(</w:t>
      </w:r>
      <w:r w:rsidR="000414A3" w:rsidRPr="003C1B5B">
        <w:rPr>
          <w:lang w:val="it-IT"/>
        </w:rPr>
        <w:t>rapport</w:t>
      </w:r>
      <w:r w:rsidR="0058096F" w:rsidRPr="003C1B5B">
        <w:rPr>
          <w:lang w:val="it-IT"/>
        </w:rPr>
        <w:t>o</w:t>
      </w:r>
      <w:r w:rsidR="000414A3" w:rsidRPr="003C1B5B">
        <w:rPr>
          <w:lang w:val="it-IT"/>
        </w:rPr>
        <w:t xml:space="preserve"> di rischio</w:t>
      </w:r>
      <w:r w:rsidR="00670E2C" w:rsidRPr="003C1B5B">
        <w:rPr>
          <w:lang w:val="it-IT"/>
        </w:rPr>
        <w:t>: 0</w:t>
      </w:r>
      <w:r w:rsidRPr="003C1B5B">
        <w:rPr>
          <w:lang w:val="it-IT"/>
        </w:rPr>
        <w:t>,</w:t>
      </w:r>
      <w:r w:rsidR="00670E2C" w:rsidRPr="003C1B5B">
        <w:rPr>
          <w:lang w:val="it-IT"/>
        </w:rPr>
        <w:t xml:space="preserve">40 </w:t>
      </w:r>
      <w:r w:rsidRPr="003C1B5B">
        <w:rPr>
          <w:lang w:val="it-IT"/>
        </w:rPr>
        <w:t xml:space="preserve">con intervallo di confidenza (CI) </w:t>
      </w:r>
      <w:r w:rsidR="00670E2C" w:rsidRPr="003C1B5B">
        <w:rPr>
          <w:lang w:val="it-IT"/>
        </w:rPr>
        <w:t>99.2% CI: (0</w:t>
      </w:r>
      <w:r w:rsidRPr="003C1B5B">
        <w:rPr>
          <w:lang w:val="it-IT"/>
        </w:rPr>
        <w:t>,</w:t>
      </w:r>
      <w:r w:rsidR="00670E2C" w:rsidRPr="003C1B5B">
        <w:rPr>
          <w:lang w:val="it-IT"/>
        </w:rPr>
        <w:t>29 0</w:t>
      </w:r>
      <w:r w:rsidRPr="003C1B5B">
        <w:rPr>
          <w:lang w:val="it-IT"/>
        </w:rPr>
        <w:t>,</w:t>
      </w:r>
      <w:r w:rsidR="00670E2C" w:rsidRPr="003C1B5B">
        <w:rPr>
          <w:lang w:val="it-IT"/>
        </w:rPr>
        <w:t>57))</w:t>
      </w:r>
      <w:r w:rsidR="003E422D" w:rsidRPr="003C1B5B">
        <w:rPr>
          <w:vertAlign w:val="superscript"/>
          <w:lang w:val="it-IT"/>
        </w:rPr>
        <w:t>1</w:t>
      </w:r>
      <w:r w:rsidR="00670E2C" w:rsidRPr="003C1B5B">
        <w:rPr>
          <w:lang w:val="it-IT"/>
        </w:rPr>
        <w:t xml:space="preserve">. </w:t>
      </w:r>
      <w:bookmarkStart w:id="1" w:name="_Hlk70609173"/>
      <w:r w:rsidRPr="003C1B5B">
        <w:rPr>
          <w:lang w:val="it-IT"/>
        </w:rPr>
        <w:t xml:space="preserve">Nel braccio di trattamento con </w:t>
      </w:r>
      <w:r w:rsidRPr="003C1B5B">
        <w:rPr>
          <w:vertAlign w:val="superscript"/>
          <w:lang w:val="it-IT"/>
        </w:rPr>
        <w:t>177</w:t>
      </w:r>
      <w:r w:rsidRPr="003C1B5B">
        <w:rPr>
          <w:lang w:val="it-IT"/>
        </w:rPr>
        <w:t xml:space="preserve">Lu-PSMA-617 si è verificato un tasso maggiore di eventi avversi collegati alla terapia </w:t>
      </w:r>
      <w:r w:rsidR="00905E0F" w:rsidRPr="003C1B5B">
        <w:rPr>
          <w:lang w:val="it-IT"/>
        </w:rPr>
        <w:t>(</w:t>
      </w:r>
      <w:r w:rsidR="00752FFC" w:rsidRPr="003C1B5B">
        <w:rPr>
          <w:lang w:val="it-IT"/>
        </w:rPr>
        <w:t>85.3</w:t>
      </w:r>
      <w:r w:rsidR="00905E0F" w:rsidRPr="003C1B5B">
        <w:rPr>
          <w:lang w:val="it-IT"/>
        </w:rPr>
        <w:t xml:space="preserve">%) </w:t>
      </w:r>
      <w:r w:rsidRPr="003C1B5B">
        <w:rPr>
          <w:lang w:val="it-IT"/>
        </w:rPr>
        <w:t>rispetto al solo standard di cura</w:t>
      </w:r>
      <w:r w:rsidR="00905E0F" w:rsidRPr="003C1B5B">
        <w:rPr>
          <w:lang w:val="it-IT"/>
        </w:rPr>
        <w:t xml:space="preserve"> (</w:t>
      </w:r>
      <w:r w:rsidR="00752FFC" w:rsidRPr="003C1B5B">
        <w:rPr>
          <w:lang w:val="it-IT"/>
        </w:rPr>
        <w:t>28.8</w:t>
      </w:r>
      <w:r w:rsidR="00905E0F" w:rsidRPr="003C1B5B">
        <w:rPr>
          <w:lang w:val="it-IT"/>
        </w:rPr>
        <w:t>%)</w:t>
      </w:r>
      <w:bookmarkEnd w:id="1"/>
      <w:r w:rsidR="009F080E" w:rsidRPr="003C1B5B">
        <w:rPr>
          <w:vertAlign w:val="superscript"/>
          <w:lang w:val="it-IT"/>
        </w:rPr>
        <w:t>1</w:t>
      </w:r>
      <w:r w:rsidR="009F080E" w:rsidRPr="003C1B5B">
        <w:rPr>
          <w:lang w:val="it-IT"/>
        </w:rPr>
        <w:t>.</w:t>
      </w:r>
      <w:r w:rsidR="00041738" w:rsidRPr="003C1B5B">
        <w:rPr>
          <w:lang w:val="it-IT"/>
        </w:rPr>
        <w:t xml:space="preserve"> </w:t>
      </w:r>
    </w:p>
    <w:p w14:paraId="5897FE57" w14:textId="77777777" w:rsidR="00B02708" w:rsidRPr="003C1B5B" w:rsidRDefault="00B02708" w:rsidP="00457492">
      <w:pPr>
        <w:jc w:val="both"/>
        <w:rPr>
          <w:lang w:val="it-IT"/>
        </w:rPr>
      </w:pPr>
    </w:p>
    <w:p w14:paraId="5A05320F" w14:textId="77777777" w:rsidR="00F70CB5" w:rsidRPr="003C1B5B" w:rsidRDefault="00C23DB5" w:rsidP="00457492">
      <w:pPr>
        <w:jc w:val="both"/>
        <w:rPr>
          <w:rFonts w:ascii="Arial" w:hAnsi="Arial" w:cs="Arial"/>
          <w:lang w:val="it-IT"/>
        </w:rPr>
      </w:pPr>
      <w:r w:rsidRPr="003C1B5B">
        <w:rPr>
          <w:rFonts w:ascii="Arial" w:hAnsi="Arial" w:cs="Arial"/>
          <w:lang w:val="it-IT"/>
        </w:rPr>
        <w:t>In entrambi i bracci dello studio</w:t>
      </w:r>
      <w:r w:rsidR="00844735" w:rsidRPr="003C1B5B">
        <w:rPr>
          <w:rFonts w:ascii="Arial" w:hAnsi="Arial" w:cs="Arial"/>
          <w:lang w:val="it-IT"/>
        </w:rPr>
        <w:t xml:space="preserve">, </w:t>
      </w:r>
      <w:r w:rsidR="005D2409" w:rsidRPr="003C1B5B">
        <w:rPr>
          <w:rFonts w:ascii="Arial" w:hAnsi="Arial" w:cs="Arial"/>
          <w:lang w:val="it-IT"/>
        </w:rPr>
        <w:t>i</w:t>
      </w:r>
      <w:r w:rsidRPr="003C1B5B">
        <w:rPr>
          <w:rFonts w:ascii="Arial" w:hAnsi="Arial" w:cs="Arial"/>
          <w:lang w:val="it-IT"/>
        </w:rPr>
        <w:t xml:space="preserve"> tassi di interruzione del trattamento </w:t>
      </w:r>
      <w:r w:rsidR="008E359E" w:rsidRPr="003C1B5B">
        <w:rPr>
          <w:rFonts w:ascii="Arial" w:hAnsi="Arial" w:cs="Arial"/>
          <w:lang w:val="it-IT"/>
        </w:rPr>
        <w:t>associati agli eventi avversi derivanti dalla terapia si sono presentati come segue</w:t>
      </w:r>
      <w:r w:rsidR="00844735" w:rsidRPr="003C1B5B">
        <w:rPr>
          <w:rFonts w:ascii="Arial" w:hAnsi="Arial" w:cs="Arial"/>
          <w:lang w:val="it-IT"/>
        </w:rPr>
        <w:t xml:space="preserve">: </w:t>
      </w:r>
      <w:r w:rsidR="008E359E" w:rsidRPr="003C1B5B">
        <w:rPr>
          <w:rFonts w:ascii="Arial" w:hAnsi="Arial" w:cs="Arial"/>
          <w:lang w:val="it-IT"/>
        </w:rPr>
        <w:t xml:space="preserve">nel braccio con </w:t>
      </w:r>
      <w:r w:rsidR="00844735" w:rsidRPr="003C1B5B">
        <w:rPr>
          <w:rFonts w:ascii="Arial" w:hAnsi="Arial"/>
          <w:vertAlign w:val="superscript"/>
          <w:lang w:val="it-IT"/>
        </w:rPr>
        <w:t>177</w:t>
      </w:r>
      <w:r w:rsidR="00844735" w:rsidRPr="003C1B5B">
        <w:rPr>
          <w:rFonts w:ascii="Arial" w:hAnsi="Arial"/>
          <w:lang w:val="it-IT"/>
        </w:rPr>
        <w:t xml:space="preserve">Lu-PSMA-617 </w:t>
      </w:r>
      <w:r w:rsidR="008E359E" w:rsidRPr="003C1B5B">
        <w:rPr>
          <w:rFonts w:ascii="Arial" w:hAnsi="Arial"/>
          <w:lang w:val="it-IT"/>
        </w:rPr>
        <w:t xml:space="preserve">più standard di cura </w:t>
      </w:r>
      <w:r w:rsidR="00844735" w:rsidRPr="003C1B5B">
        <w:rPr>
          <w:rFonts w:ascii="Arial" w:hAnsi="Arial" w:cs="Arial"/>
          <w:lang w:val="it-IT"/>
        </w:rPr>
        <w:t>(SOC)</w:t>
      </w:r>
      <w:r w:rsidR="008E359E" w:rsidRPr="003C1B5B">
        <w:rPr>
          <w:rFonts w:ascii="Arial" w:hAnsi="Arial" w:cs="Arial"/>
          <w:lang w:val="it-IT"/>
        </w:rPr>
        <w:t xml:space="preserve"> l’</w:t>
      </w:r>
      <w:r w:rsidR="00844735" w:rsidRPr="003C1B5B">
        <w:rPr>
          <w:rFonts w:ascii="Arial" w:hAnsi="Arial" w:cs="Arial"/>
          <w:lang w:val="it-IT"/>
        </w:rPr>
        <w:t>11</w:t>
      </w:r>
      <w:r w:rsidR="008E359E" w:rsidRPr="003C1B5B">
        <w:rPr>
          <w:rFonts w:ascii="Arial" w:hAnsi="Arial" w:cs="Arial"/>
          <w:lang w:val="it-IT"/>
        </w:rPr>
        <w:t>,</w:t>
      </w:r>
      <w:r w:rsidR="00844735" w:rsidRPr="003C1B5B">
        <w:rPr>
          <w:rFonts w:ascii="Arial" w:hAnsi="Arial" w:cs="Arial"/>
          <w:lang w:val="it-IT"/>
        </w:rPr>
        <w:t xml:space="preserve">9% </w:t>
      </w:r>
      <w:r w:rsidR="008E359E" w:rsidRPr="003C1B5B">
        <w:rPr>
          <w:rFonts w:ascii="Arial" w:hAnsi="Arial" w:cs="Arial"/>
          <w:lang w:val="it-IT"/>
        </w:rPr>
        <w:t xml:space="preserve">dei pazienti ha interrotto </w:t>
      </w:r>
      <w:r w:rsidR="00844735" w:rsidRPr="003C1B5B">
        <w:rPr>
          <w:rFonts w:ascii="Arial" w:hAnsi="Arial"/>
          <w:vertAlign w:val="superscript"/>
          <w:lang w:val="it-IT"/>
        </w:rPr>
        <w:t>177</w:t>
      </w:r>
      <w:r w:rsidR="00844735" w:rsidRPr="003C1B5B">
        <w:rPr>
          <w:rFonts w:ascii="Arial" w:hAnsi="Arial"/>
          <w:lang w:val="it-IT"/>
        </w:rPr>
        <w:t xml:space="preserve">Lu-PSMA-617 </w:t>
      </w:r>
      <w:r w:rsidR="008E359E" w:rsidRPr="003C1B5B">
        <w:rPr>
          <w:rFonts w:ascii="Arial" w:hAnsi="Arial"/>
          <w:lang w:val="it-IT"/>
        </w:rPr>
        <w:t>e l’</w:t>
      </w:r>
      <w:r w:rsidR="00844735" w:rsidRPr="003C1B5B">
        <w:rPr>
          <w:rFonts w:ascii="Arial" w:hAnsi="Arial" w:cs="Arial"/>
          <w:lang w:val="it-IT"/>
        </w:rPr>
        <w:t>8</w:t>
      </w:r>
      <w:r w:rsidR="0087237D" w:rsidRPr="003C1B5B">
        <w:rPr>
          <w:rFonts w:ascii="Arial" w:hAnsi="Arial" w:cs="Arial"/>
          <w:lang w:val="it-IT"/>
        </w:rPr>
        <w:t>,</w:t>
      </w:r>
      <w:r w:rsidR="00844735" w:rsidRPr="003C1B5B">
        <w:rPr>
          <w:rFonts w:ascii="Arial" w:hAnsi="Arial" w:cs="Arial"/>
          <w:lang w:val="it-IT"/>
        </w:rPr>
        <w:t xml:space="preserve">5% </w:t>
      </w:r>
      <w:r w:rsidR="008E359E" w:rsidRPr="003C1B5B">
        <w:rPr>
          <w:rFonts w:ascii="Arial" w:hAnsi="Arial" w:cs="Arial"/>
          <w:lang w:val="it-IT"/>
        </w:rPr>
        <w:t xml:space="preserve">ha interrotto </w:t>
      </w:r>
      <w:r w:rsidR="00844735" w:rsidRPr="003C1B5B">
        <w:rPr>
          <w:rFonts w:ascii="Arial" w:hAnsi="Arial" w:cs="Arial"/>
          <w:lang w:val="it-IT"/>
        </w:rPr>
        <w:t xml:space="preserve">SOC; </w:t>
      </w:r>
      <w:r w:rsidR="008E359E" w:rsidRPr="003C1B5B">
        <w:rPr>
          <w:rFonts w:ascii="Arial" w:hAnsi="Arial" w:cs="Arial"/>
          <w:lang w:val="it-IT"/>
        </w:rPr>
        <w:t xml:space="preserve">mentre nel braccio con il solo </w:t>
      </w:r>
      <w:r w:rsidR="00844735" w:rsidRPr="003C1B5B">
        <w:rPr>
          <w:rFonts w:ascii="Arial" w:hAnsi="Arial" w:cs="Arial"/>
          <w:lang w:val="it-IT"/>
        </w:rPr>
        <w:t xml:space="preserve">SOC </w:t>
      </w:r>
      <w:r w:rsidR="008E359E" w:rsidRPr="003C1B5B">
        <w:rPr>
          <w:rFonts w:ascii="Arial" w:hAnsi="Arial" w:cs="Arial"/>
          <w:lang w:val="it-IT"/>
        </w:rPr>
        <w:t xml:space="preserve">il </w:t>
      </w:r>
      <w:r w:rsidR="00844735" w:rsidRPr="003C1B5B">
        <w:rPr>
          <w:rFonts w:ascii="Arial" w:hAnsi="Arial" w:cs="Arial"/>
          <w:lang w:val="it-IT"/>
        </w:rPr>
        <w:t>7</w:t>
      </w:r>
      <w:r w:rsidR="0087237D" w:rsidRPr="003C1B5B">
        <w:rPr>
          <w:rFonts w:ascii="Arial" w:hAnsi="Arial" w:cs="Arial"/>
          <w:lang w:val="it-IT"/>
        </w:rPr>
        <w:t>,</w:t>
      </w:r>
      <w:r w:rsidR="00844735" w:rsidRPr="003C1B5B">
        <w:rPr>
          <w:rFonts w:ascii="Arial" w:hAnsi="Arial" w:cs="Arial"/>
          <w:lang w:val="it-IT"/>
        </w:rPr>
        <w:t xml:space="preserve">8% </w:t>
      </w:r>
      <w:r w:rsidR="008E359E" w:rsidRPr="003C1B5B">
        <w:rPr>
          <w:rFonts w:ascii="Arial" w:hAnsi="Arial" w:cs="Arial"/>
          <w:lang w:val="it-IT"/>
        </w:rPr>
        <w:t>dei pazienti ha interrotto il trattamento</w:t>
      </w:r>
      <w:r w:rsidR="00CA0B6D" w:rsidRPr="003C1B5B">
        <w:rPr>
          <w:rFonts w:ascii="Arial" w:hAnsi="Arial"/>
          <w:vertAlign w:val="superscript"/>
          <w:lang w:val="it-IT"/>
        </w:rPr>
        <w:t>1</w:t>
      </w:r>
      <w:r w:rsidR="001726AA" w:rsidRPr="003C1B5B">
        <w:rPr>
          <w:rFonts w:ascii="Arial" w:hAnsi="Arial"/>
          <w:lang w:val="it-IT"/>
        </w:rPr>
        <w:t>.</w:t>
      </w:r>
    </w:p>
    <w:bookmarkEnd w:id="0"/>
    <w:p w14:paraId="145E5D37" w14:textId="77777777" w:rsidR="00A331D1" w:rsidRPr="003C1B5B" w:rsidRDefault="00A331D1" w:rsidP="00457492">
      <w:pPr>
        <w:jc w:val="both"/>
        <w:rPr>
          <w:rFonts w:ascii="Arial" w:hAnsi="Arial" w:cs="Arial"/>
          <w:lang w:val="it-IT"/>
        </w:rPr>
      </w:pPr>
    </w:p>
    <w:p w14:paraId="032AD2D0" w14:textId="77777777" w:rsidR="009157AF" w:rsidRPr="003C1B5B" w:rsidRDefault="009157AF" w:rsidP="009157AF">
      <w:pPr>
        <w:jc w:val="both"/>
        <w:rPr>
          <w:rFonts w:cstheme="minorHAnsi"/>
          <w:lang w:val="it-IT"/>
        </w:rPr>
      </w:pPr>
      <w:bookmarkStart w:id="2" w:name="_Hlk69484615"/>
      <w:r w:rsidRPr="003C1B5B">
        <w:rPr>
          <w:rFonts w:cstheme="minorHAnsi"/>
          <w:lang w:val="it-IT"/>
        </w:rPr>
        <w:t xml:space="preserve">“Entriamo nell’era della medicina di precisione nel carcinoma della prostata con lo studio VISION – afferma </w:t>
      </w:r>
      <w:r w:rsidRPr="003C1B5B">
        <w:rPr>
          <w:rFonts w:eastAsia="Times New Roman" w:cstheme="minorHAnsi"/>
          <w:b/>
          <w:bCs/>
          <w:lang w:val="it-IT" w:eastAsia="it-IT"/>
        </w:rPr>
        <w:t>Giuseppe Procopio</w:t>
      </w:r>
      <w:r w:rsidRPr="003C1B5B">
        <w:rPr>
          <w:rFonts w:eastAsia="Times New Roman" w:cstheme="minorHAnsi"/>
          <w:b/>
          <w:lang w:val="it-IT" w:eastAsia="it-IT"/>
        </w:rPr>
        <w:t xml:space="preserve">, </w:t>
      </w:r>
      <w:r w:rsidRPr="003C1B5B">
        <w:rPr>
          <w:rFonts w:eastAsia="MinionPro-Regular" w:cstheme="minorHAnsi"/>
          <w:lang w:val="it-IT" w:eastAsia="it-IT"/>
        </w:rPr>
        <w:t>R</w:t>
      </w:r>
      <w:r w:rsidRPr="003C1B5B">
        <w:rPr>
          <w:rFonts w:eastAsia="Times New Roman" w:cstheme="minorHAnsi"/>
          <w:lang w:val="it-IT" w:eastAsia="it-IT"/>
        </w:rPr>
        <w:t>esponsabile Oncologia Medica genitourinaria della Fondazione IRCCS Istituto Nazionale dei Tumori di Milano -.</w:t>
      </w:r>
      <w:r w:rsidRPr="003C1B5B">
        <w:rPr>
          <w:rFonts w:cstheme="minorHAnsi"/>
          <w:lang w:val="it-IT"/>
        </w:rPr>
        <w:t xml:space="preserve"> Per la prima volta viene dimostrata l’azione antitumorale selettiva di un radiofarmaco, il lute</w:t>
      </w:r>
      <w:r w:rsidR="00CF0531" w:rsidRPr="003C1B5B">
        <w:rPr>
          <w:rFonts w:cstheme="minorHAnsi"/>
          <w:lang w:val="it-IT"/>
        </w:rPr>
        <w:t>z</w:t>
      </w:r>
      <w:r w:rsidRPr="003C1B5B">
        <w:rPr>
          <w:rFonts w:cstheme="minorHAnsi"/>
          <w:lang w:val="it-IT"/>
        </w:rPr>
        <w:t>io, in pazienti con malattia in fase di resistenza alla castrazione. L’efficacia antitumorale del lute</w:t>
      </w:r>
      <w:r w:rsidR="00CF0531" w:rsidRPr="003C1B5B">
        <w:rPr>
          <w:rFonts w:cstheme="minorHAnsi"/>
          <w:lang w:val="it-IT"/>
        </w:rPr>
        <w:t>zio</w:t>
      </w:r>
      <w:r w:rsidRPr="003C1B5B">
        <w:rPr>
          <w:rFonts w:cstheme="minorHAnsi"/>
          <w:lang w:val="it-IT"/>
        </w:rPr>
        <w:t xml:space="preserve"> ha indotto un significativo vantaggio in sopravvivenza libera da progressione e globale in pazienti selezionati sulla base di un esame diagnostico innovativo quale la PET PSMA”.</w:t>
      </w:r>
    </w:p>
    <w:p w14:paraId="1CE62226" w14:textId="77777777" w:rsidR="009157AF" w:rsidRPr="003C1B5B" w:rsidRDefault="009157AF" w:rsidP="0018502B">
      <w:pPr>
        <w:jc w:val="both"/>
        <w:rPr>
          <w:rFonts w:ascii="Arial" w:hAnsi="Arial" w:cs="Arial"/>
          <w:lang w:val="it-IT"/>
        </w:rPr>
      </w:pPr>
    </w:p>
    <w:p w14:paraId="722DFAE6" w14:textId="77777777" w:rsidR="003C1B5B" w:rsidRPr="003C1B5B" w:rsidRDefault="003C1B5B" w:rsidP="003C1B5B">
      <w:pPr>
        <w:jc w:val="both"/>
        <w:rPr>
          <w:rFonts w:ascii="Arial" w:eastAsia="Times New Roman" w:hAnsi="Arial" w:cs="Arial"/>
          <w:lang w:val="it-IT" w:eastAsia="it-IT"/>
        </w:rPr>
      </w:pPr>
      <w:r w:rsidRPr="003C1B5B">
        <w:rPr>
          <w:rFonts w:ascii="Arial" w:hAnsi="Arial" w:cs="Arial"/>
          <w:lang w:val="it-IT"/>
        </w:rPr>
        <w:t xml:space="preserve">“Nel 2020 in Italia sono stati stimati circa 36mila nuovi casi di tumore della prostata - spiega </w:t>
      </w:r>
      <w:r w:rsidRPr="003C1B5B">
        <w:rPr>
          <w:rFonts w:ascii="Arial" w:eastAsia="Times New Roman" w:hAnsi="Arial" w:cs="Arial"/>
          <w:b/>
          <w:bCs/>
          <w:lang w:val="it-IT" w:eastAsia="it-IT"/>
        </w:rPr>
        <w:t>Sergio Bracarda</w:t>
      </w:r>
      <w:r w:rsidRPr="003C1B5B">
        <w:rPr>
          <w:rFonts w:ascii="Arial" w:eastAsia="Times New Roman" w:hAnsi="Arial" w:cs="Arial"/>
          <w:lang w:val="it-IT" w:eastAsia="it-IT"/>
        </w:rPr>
        <w:t xml:space="preserve">, </w:t>
      </w:r>
      <w:bookmarkStart w:id="3" w:name="_Hlk73461520"/>
      <w:r w:rsidRPr="003C1B5B">
        <w:rPr>
          <w:rFonts w:ascii="Arial" w:eastAsia="Times New Roman" w:hAnsi="Arial" w:cs="Arial"/>
          <w:lang w:val="it-IT" w:eastAsia="it-IT"/>
        </w:rPr>
        <w:t xml:space="preserve">Direttore del Dipartimento Oncologico e della Struttura Complessa di Oncologia Medica e Traslazionale dell’Azienda Ospedaliera Santa Maria di Terni </w:t>
      </w:r>
      <w:bookmarkEnd w:id="3"/>
      <w:r w:rsidRPr="003C1B5B">
        <w:rPr>
          <w:rFonts w:ascii="Arial" w:eastAsia="Times New Roman" w:hAnsi="Arial" w:cs="Arial"/>
          <w:lang w:val="it-IT" w:eastAsia="it-IT"/>
        </w:rPr>
        <w:t xml:space="preserve">-. </w:t>
      </w:r>
      <w:r w:rsidRPr="003C1B5B">
        <w:rPr>
          <w:rFonts w:ascii="Arial" w:hAnsi="Arial" w:cs="Arial"/>
          <w:lang w:val="it-IT"/>
        </w:rPr>
        <w:t>L’impatto del tumore metastatico della prostata sulla quotidianità dei pazienti che sviluppano sintomi correlati alla malattia può essere importante, arrivando, in alcuni casi, a limitare la possibilità di dormire o camminare per il dolore</w:t>
      </w:r>
      <w:r w:rsidRPr="003C1B5B">
        <w:rPr>
          <w:rFonts w:ascii="Arial" w:eastAsia="Times New Roman" w:hAnsi="Arial" w:cs="Arial"/>
          <w:lang w:val="it-IT" w:eastAsia="it-IT"/>
        </w:rPr>
        <w:t>.</w:t>
      </w:r>
      <w:r w:rsidRPr="003C1B5B">
        <w:rPr>
          <w:rFonts w:ascii="Arial" w:hAnsi="Arial" w:cs="Arial"/>
          <w:lang w:val="it-IT"/>
        </w:rPr>
        <w:t xml:space="preserve"> La nuova terapia mirata con radioligando, oltre a mostrare un’efficacia clinica molto promettente, rappresenta un approccio terapeutico innovativo e non cross-reagente con altri farmaci già disponibili, in una malattia ‘complessa’ da trattare. </w:t>
      </w:r>
      <w:r w:rsidRPr="003C1B5B">
        <w:rPr>
          <w:vertAlign w:val="superscript"/>
          <w:lang w:val="it-IT"/>
        </w:rPr>
        <w:t>177</w:t>
      </w:r>
      <w:r w:rsidRPr="003C1B5B">
        <w:rPr>
          <w:lang w:val="it-IT"/>
        </w:rPr>
        <w:t xml:space="preserve">Lu-PSMA-617 </w:t>
      </w:r>
      <w:r w:rsidRPr="003C1B5B">
        <w:rPr>
          <w:rFonts w:ascii="Arial" w:eastAsia="Times New Roman" w:hAnsi="Arial" w:cs="Arial"/>
          <w:lang w:val="it-IT" w:eastAsia="it-IT"/>
        </w:rPr>
        <w:t xml:space="preserve">è diretto contro l’antigene di membrana specifico della prostata (PSMA), che è sovraespresso nella maggior parte delle cellule tumorali della prostata. In particolare, ha la capacità di agire solo sui tessuti malati risparmiando tutto ciò che sta attorno”. </w:t>
      </w:r>
    </w:p>
    <w:p w14:paraId="21FF30CA" w14:textId="77777777" w:rsidR="0018502B" w:rsidRPr="003C1B5B" w:rsidRDefault="0018502B" w:rsidP="00457492">
      <w:pPr>
        <w:jc w:val="both"/>
        <w:rPr>
          <w:lang w:val="it-IT"/>
        </w:rPr>
      </w:pPr>
    </w:p>
    <w:p w14:paraId="55FF7E70" w14:textId="19F865B8" w:rsidR="00DE0271" w:rsidRPr="003C1B5B" w:rsidRDefault="00DE0271" w:rsidP="00DE0271">
      <w:pPr>
        <w:jc w:val="both"/>
        <w:rPr>
          <w:rFonts w:ascii="Arial" w:hAnsi="Arial" w:cs="Arial"/>
          <w:lang w:val="it-IT"/>
        </w:rPr>
      </w:pPr>
      <w:r w:rsidRPr="003C1B5B">
        <w:rPr>
          <w:rFonts w:ascii="Arial" w:hAnsi="Arial" w:cs="Arial"/>
          <w:lang w:val="it-IT"/>
        </w:rPr>
        <w:t xml:space="preserve">“La medicina nucleare utilizza sostanze radioattive per colpire le cellule tumorali – sottolinea </w:t>
      </w:r>
      <w:r w:rsidRPr="003C1B5B">
        <w:rPr>
          <w:rFonts w:ascii="Arial" w:hAnsi="Arial" w:cs="Arial"/>
          <w:b/>
          <w:bCs/>
          <w:lang w:val="it-IT"/>
        </w:rPr>
        <w:t>Ettore Seregni</w:t>
      </w:r>
      <w:r w:rsidRPr="003C1B5B">
        <w:rPr>
          <w:rFonts w:ascii="Arial" w:hAnsi="Arial" w:cs="Arial"/>
          <w:lang w:val="it-IT"/>
        </w:rPr>
        <w:t xml:space="preserve">, Direttore Struttura Complessa Medicina Nucleare Fondazione IRCCS Istituto Nazionale Tumori di Milano -. L’approccio a una patologia come il tumore della prostata deve essere </w:t>
      </w:r>
      <w:r w:rsidR="00CF0531" w:rsidRPr="003C1B5B">
        <w:rPr>
          <w:rFonts w:ascii="Arial" w:hAnsi="Arial" w:cs="Arial"/>
          <w:lang w:val="it-IT"/>
        </w:rPr>
        <w:t xml:space="preserve">necessariamente </w:t>
      </w:r>
      <w:r w:rsidRPr="003C1B5B">
        <w:rPr>
          <w:rFonts w:ascii="Arial" w:hAnsi="Arial" w:cs="Arial"/>
          <w:lang w:val="it-IT"/>
        </w:rPr>
        <w:t xml:space="preserve">multidisciplinare. </w:t>
      </w:r>
      <w:r w:rsidR="00CF0531" w:rsidRPr="003C1B5B">
        <w:rPr>
          <w:rFonts w:ascii="Arial" w:hAnsi="Arial" w:cs="Arial"/>
          <w:lang w:val="it-IT"/>
        </w:rPr>
        <w:t xml:space="preserve">Infatti, </w:t>
      </w:r>
      <w:r w:rsidR="00DF5142" w:rsidRPr="003C1B5B">
        <w:rPr>
          <w:rFonts w:ascii="Arial" w:hAnsi="Arial" w:cs="Arial"/>
          <w:lang w:val="it-IT"/>
        </w:rPr>
        <w:t>il</w:t>
      </w:r>
      <w:r w:rsidRPr="003C1B5B">
        <w:rPr>
          <w:rFonts w:ascii="Arial" w:hAnsi="Arial" w:cs="Arial"/>
          <w:lang w:val="it-IT"/>
        </w:rPr>
        <w:t xml:space="preserve"> medico nucleare lavora in team con l’oncologo e valuta se il paziente è candidabile al </w:t>
      </w:r>
      <w:r w:rsidR="00F948A3" w:rsidRPr="003C1B5B">
        <w:rPr>
          <w:rFonts w:ascii="Arial" w:hAnsi="Arial" w:cs="Arial"/>
          <w:lang w:val="it-IT"/>
        </w:rPr>
        <w:t xml:space="preserve">trattamento con </w:t>
      </w:r>
      <w:r w:rsidR="00F948A3" w:rsidRPr="003C1B5B">
        <w:rPr>
          <w:vertAlign w:val="superscript"/>
          <w:lang w:val="it-IT"/>
        </w:rPr>
        <w:t>177</w:t>
      </w:r>
      <w:r w:rsidR="00F948A3" w:rsidRPr="003C1B5B">
        <w:rPr>
          <w:lang w:val="it-IT"/>
        </w:rPr>
        <w:t xml:space="preserve">Lu-PSMA-617 </w:t>
      </w:r>
      <w:r w:rsidR="00F948A3" w:rsidRPr="003C1B5B">
        <w:rPr>
          <w:rFonts w:ascii="Arial" w:hAnsi="Arial" w:cs="Arial"/>
          <w:lang w:val="it-IT"/>
        </w:rPr>
        <w:t xml:space="preserve">analizzando </w:t>
      </w:r>
      <w:r w:rsidR="00CF0531" w:rsidRPr="003C1B5B">
        <w:rPr>
          <w:rFonts w:ascii="Arial" w:hAnsi="Arial" w:cs="Arial"/>
          <w:lang w:val="it-IT"/>
        </w:rPr>
        <w:t xml:space="preserve">i risultati della PET </w:t>
      </w:r>
      <w:r w:rsidRPr="003C1B5B">
        <w:rPr>
          <w:rFonts w:ascii="Arial" w:hAnsi="Arial" w:cs="Arial"/>
          <w:lang w:val="it-IT"/>
        </w:rPr>
        <w:t>diagnostica</w:t>
      </w:r>
      <w:r w:rsidR="00F948A3" w:rsidRPr="003C1B5B">
        <w:rPr>
          <w:rFonts w:ascii="Arial" w:hAnsi="Arial" w:cs="Arial"/>
          <w:lang w:val="it-IT"/>
        </w:rPr>
        <w:t xml:space="preserve"> eseguita in precedenza</w:t>
      </w:r>
      <w:r w:rsidRPr="003C1B5B">
        <w:rPr>
          <w:rFonts w:ascii="Arial" w:hAnsi="Arial" w:cs="Arial"/>
          <w:lang w:val="it-IT"/>
        </w:rPr>
        <w:t>.</w:t>
      </w:r>
      <w:r w:rsidR="00F948A3" w:rsidRPr="003C1B5B">
        <w:rPr>
          <w:rFonts w:ascii="Arial" w:hAnsi="Arial" w:cs="Arial"/>
          <w:lang w:val="it-IT"/>
        </w:rPr>
        <w:t xml:space="preserve"> </w:t>
      </w:r>
      <w:r w:rsidR="00CF0531" w:rsidRPr="003C1B5B">
        <w:rPr>
          <w:rFonts w:ascii="Arial" w:hAnsi="Arial" w:cs="Arial"/>
          <w:lang w:val="it-IT"/>
        </w:rPr>
        <w:t>E’ prevedibile che quest</w:t>
      </w:r>
      <w:r w:rsidR="003F68DA" w:rsidRPr="003C1B5B">
        <w:rPr>
          <w:rFonts w:ascii="Arial" w:hAnsi="Arial" w:cs="Arial"/>
          <w:lang w:val="it-IT"/>
        </w:rPr>
        <w:t>a</w:t>
      </w:r>
      <w:r w:rsidR="00CF0531" w:rsidRPr="003C1B5B">
        <w:rPr>
          <w:rFonts w:ascii="Arial" w:hAnsi="Arial" w:cs="Arial"/>
          <w:lang w:val="it-IT"/>
        </w:rPr>
        <w:t xml:space="preserve"> </w:t>
      </w:r>
      <w:r w:rsidR="003F68DA" w:rsidRPr="003C1B5B">
        <w:rPr>
          <w:rFonts w:ascii="Arial" w:hAnsi="Arial" w:cs="Arial"/>
          <w:lang w:val="it-IT"/>
        </w:rPr>
        <w:t>terapia</w:t>
      </w:r>
      <w:r w:rsidR="00CF0531" w:rsidRPr="003C1B5B">
        <w:rPr>
          <w:rFonts w:ascii="Arial" w:hAnsi="Arial" w:cs="Arial"/>
          <w:lang w:val="it-IT"/>
        </w:rPr>
        <w:t xml:space="preserve"> po</w:t>
      </w:r>
      <w:r w:rsidR="00F948A3" w:rsidRPr="003C1B5B">
        <w:rPr>
          <w:rFonts w:ascii="Arial" w:hAnsi="Arial" w:cs="Arial"/>
          <w:lang w:val="it-IT"/>
        </w:rPr>
        <w:t>trà</w:t>
      </w:r>
      <w:r w:rsidR="00CF0531" w:rsidRPr="003C1B5B">
        <w:rPr>
          <w:rFonts w:ascii="Arial" w:hAnsi="Arial" w:cs="Arial"/>
          <w:lang w:val="it-IT"/>
        </w:rPr>
        <w:t xml:space="preserve"> essere eseguit</w:t>
      </w:r>
      <w:r w:rsidR="00A51318" w:rsidRPr="003C1B5B">
        <w:rPr>
          <w:rFonts w:ascii="Arial" w:hAnsi="Arial" w:cs="Arial"/>
          <w:lang w:val="it-IT"/>
        </w:rPr>
        <w:t>a</w:t>
      </w:r>
      <w:r w:rsidR="00CF0531" w:rsidRPr="003C1B5B">
        <w:rPr>
          <w:rFonts w:ascii="Arial" w:hAnsi="Arial" w:cs="Arial"/>
          <w:lang w:val="it-IT"/>
        </w:rPr>
        <w:t xml:space="preserve"> in molti casi anche</w:t>
      </w:r>
      <w:r w:rsidRPr="003C1B5B">
        <w:rPr>
          <w:rFonts w:ascii="Arial" w:hAnsi="Arial" w:cs="Arial"/>
          <w:lang w:val="it-IT"/>
        </w:rPr>
        <w:t xml:space="preserve"> ambulatori</w:t>
      </w:r>
      <w:r w:rsidR="00CF0531" w:rsidRPr="003C1B5B">
        <w:rPr>
          <w:rFonts w:ascii="Arial" w:hAnsi="Arial" w:cs="Arial"/>
          <w:lang w:val="it-IT"/>
        </w:rPr>
        <w:t>almente</w:t>
      </w:r>
      <w:r w:rsidRPr="003C1B5B">
        <w:rPr>
          <w:rFonts w:ascii="Arial" w:hAnsi="Arial" w:cs="Arial"/>
          <w:lang w:val="it-IT"/>
        </w:rPr>
        <w:t xml:space="preserve">, senza </w:t>
      </w:r>
      <w:r w:rsidR="00CF0531" w:rsidRPr="003C1B5B">
        <w:rPr>
          <w:rFonts w:ascii="Arial" w:hAnsi="Arial" w:cs="Arial"/>
          <w:lang w:val="it-IT"/>
        </w:rPr>
        <w:t xml:space="preserve">quindi </w:t>
      </w:r>
      <w:r w:rsidR="00F948A3" w:rsidRPr="003C1B5B">
        <w:rPr>
          <w:rFonts w:ascii="Arial" w:hAnsi="Arial" w:cs="Arial"/>
          <w:lang w:val="it-IT"/>
        </w:rPr>
        <w:t xml:space="preserve">la </w:t>
      </w:r>
      <w:r w:rsidRPr="003C1B5B">
        <w:rPr>
          <w:rFonts w:ascii="Arial" w:hAnsi="Arial" w:cs="Arial"/>
          <w:lang w:val="it-IT"/>
        </w:rPr>
        <w:t>necessità di ricovero</w:t>
      </w:r>
      <w:r w:rsidR="00F948A3" w:rsidRPr="003C1B5B">
        <w:rPr>
          <w:rFonts w:ascii="Arial" w:hAnsi="Arial" w:cs="Arial"/>
          <w:lang w:val="it-IT"/>
        </w:rPr>
        <w:t xml:space="preserve"> del paziente</w:t>
      </w:r>
      <w:r w:rsidRPr="003C1B5B">
        <w:rPr>
          <w:rFonts w:ascii="Arial" w:hAnsi="Arial" w:cs="Arial"/>
          <w:lang w:val="it-IT"/>
        </w:rPr>
        <w:t>. Le radiazioni emesse dal paziente</w:t>
      </w:r>
      <w:r w:rsidR="00F948A3" w:rsidRPr="003C1B5B">
        <w:rPr>
          <w:rFonts w:ascii="Arial" w:hAnsi="Arial" w:cs="Arial"/>
          <w:lang w:val="it-IT"/>
        </w:rPr>
        <w:t>, infatti,</w:t>
      </w:r>
      <w:r w:rsidRPr="003C1B5B">
        <w:rPr>
          <w:rFonts w:ascii="Arial" w:hAnsi="Arial" w:cs="Arial"/>
          <w:lang w:val="it-IT"/>
        </w:rPr>
        <w:t xml:space="preserve"> </w:t>
      </w:r>
      <w:r w:rsidR="003F68DA" w:rsidRPr="003C1B5B">
        <w:rPr>
          <w:rFonts w:ascii="Arial" w:hAnsi="Arial" w:cs="Arial"/>
          <w:lang w:val="it-IT"/>
        </w:rPr>
        <w:t xml:space="preserve">sono </w:t>
      </w:r>
      <w:r w:rsidR="00F948A3" w:rsidRPr="003C1B5B">
        <w:rPr>
          <w:rFonts w:ascii="Arial" w:hAnsi="Arial" w:cs="Arial"/>
          <w:lang w:val="it-IT"/>
        </w:rPr>
        <w:t xml:space="preserve">limitate </w:t>
      </w:r>
      <w:r w:rsidRPr="003C1B5B">
        <w:rPr>
          <w:rFonts w:ascii="Arial" w:hAnsi="Arial" w:cs="Arial"/>
          <w:lang w:val="it-IT"/>
        </w:rPr>
        <w:t xml:space="preserve">e la radioattività </w:t>
      </w:r>
      <w:r w:rsidR="00F948A3" w:rsidRPr="003C1B5B">
        <w:rPr>
          <w:rFonts w:ascii="Arial" w:hAnsi="Arial" w:cs="Arial"/>
          <w:lang w:val="it-IT"/>
        </w:rPr>
        <w:t>si allontana in breve tempo,</w:t>
      </w:r>
      <w:r w:rsidRPr="003C1B5B">
        <w:rPr>
          <w:rFonts w:ascii="Arial" w:hAnsi="Arial" w:cs="Arial"/>
          <w:lang w:val="it-IT"/>
        </w:rPr>
        <w:t xml:space="preserve"> per cui</w:t>
      </w:r>
      <w:r w:rsidR="00DF5142" w:rsidRPr="003C1B5B">
        <w:rPr>
          <w:rFonts w:ascii="Arial" w:hAnsi="Arial" w:cs="Arial"/>
          <w:lang w:val="it-IT"/>
        </w:rPr>
        <w:t>,</w:t>
      </w:r>
      <w:r w:rsidR="00F948A3" w:rsidRPr="003C1B5B">
        <w:rPr>
          <w:rFonts w:ascii="Arial" w:hAnsi="Arial" w:cs="Arial"/>
          <w:lang w:val="it-IT"/>
        </w:rPr>
        <w:t xml:space="preserve"> seguendo le opportune precauzioni ed indicazioni, </w:t>
      </w:r>
      <w:r w:rsidRPr="003C1B5B">
        <w:rPr>
          <w:rFonts w:ascii="Arial" w:hAnsi="Arial" w:cs="Arial"/>
          <w:lang w:val="it-IT"/>
        </w:rPr>
        <w:t xml:space="preserve">non </w:t>
      </w:r>
      <w:r w:rsidR="00F948A3" w:rsidRPr="003C1B5B">
        <w:rPr>
          <w:rFonts w:ascii="Arial" w:hAnsi="Arial" w:cs="Arial"/>
          <w:lang w:val="it-IT"/>
        </w:rPr>
        <w:t xml:space="preserve">sono prevedibili </w:t>
      </w:r>
      <w:r w:rsidRPr="003C1B5B">
        <w:rPr>
          <w:rFonts w:ascii="Arial" w:hAnsi="Arial" w:cs="Arial"/>
          <w:lang w:val="it-IT"/>
        </w:rPr>
        <w:t>rischi per caregiver e famigliari</w:t>
      </w:r>
      <w:r w:rsidR="002F4612" w:rsidRPr="003C1B5B">
        <w:rPr>
          <w:rFonts w:ascii="Arial" w:hAnsi="Arial" w:cs="Arial"/>
          <w:lang w:val="it-IT"/>
        </w:rPr>
        <w:t xml:space="preserve">”. </w:t>
      </w:r>
    </w:p>
    <w:p w14:paraId="45A26C59" w14:textId="77777777" w:rsidR="00DE0271" w:rsidRPr="003C1B5B" w:rsidRDefault="00DE0271" w:rsidP="00457492">
      <w:pPr>
        <w:jc w:val="both"/>
        <w:rPr>
          <w:lang w:val="it-IT"/>
        </w:rPr>
      </w:pPr>
    </w:p>
    <w:bookmarkEnd w:id="2"/>
    <w:p w14:paraId="377BB895" w14:textId="3F0A1FB1" w:rsidR="00671A41" w:rsidRPr="003C1B5B" w:rsidRDefault="00D87737" w:rsidP="00457492">
      <w:pPr>
        <w:autoSpaceDE w:val="0"/>
        <w:autoSpaceDN w:val="0"/>
        <w:adjustRightInd w:val="0"/>
        <w:spacing w:line="240" w:lineRule="auto"/>
        <w:jc w:val="both"/>
        <w:rPr>
          <w:rFonts w:cstheme="minorHAnsi"/>
          <w:color w:val="000000"/>
          <w:lang w:val="it-IT"/>
        </w:rPr>
      </w:pPr>
      <w:r w:rsidRPr="003C1B5B">
        <w:rPr>
          <w:rFonts w:cstheme="minorHAnsi"/>
          <w:color w:val="000000" w:themeColor="text1"/>
          <w:lang w:val="it-IT"/>
        </w:rPr>
        <w:t xml:space="preserve">Due ulteriori studi </w:t>
      </w:r>
      <w:r w:rsidR="00CC6F1E" w:rsidRPr="003C1B5B">
        <w:rPr>
          <w:rFonts w:cstheme="minorHAnsi"/>
          <w:color w:val="000000" w:themeColor="text1"/>
          <w:lang w:val="it-IT"/>
        </w:rPr>
        <w:t>sul</w:t>
      </w:r>
      <w:r w:rsidRPr="003C1B5B">
        <w:rPr>
          <w:rFonts w:cstheme="minorHAnsi"/>
          <w:color w:val="000000" w:themeColor="text1"/>
          <w:lang w:val="it-IT"/>
        </w:rPr>
        <w:t xml:space="preserve">la terapia con radioligando </w:t>
      </w:r>
      <w:r w:rsidR="00671A41" w:rsidRPr="003C1B5B">
        <w:rPr>
          <w:vertAlign w:val="superscript"/>
          <w:lang w:val="it-IT"/>
        </w:rPr>
        <w:t>177</w:t>
      </w:r>
      <w:r w:rsidR="00671A41" w:rsidRPr="003C1B5B">
        <w:rPr>
          <w:lang w:val="it-IT"/>
        </w:rPr>
        <w:t xml:space="preserve">Lu-PSMA-617 </w:t>
      </w:r>
      <w:r w:rsidRPr="003C1B5B">
        <w:rPr>
          <w:lang w:val="it-IT"/>
        </w:rPr>
        <w:t>nelle prime linee del carcinoma prostatico metastatico</w:t>
      </w:r>
      <w:r w:rsidR="00F70DA4" w:rsidRPr="003C1B5B">
        <w:rPr>
          <w:lang w:val="it-IT"/>
        </w:rPr>
        <w:t xml:space="preserve"> sono pianificati di partire nella prima metà del 2021</w:t>
      </w:r>
      <w:r w:rsidR="00671A41" w:rsidRPr="003C1B5B">
        <w:rPr>
          <w:lang w:val="it-IT"/>
        </w:rPr>
        <w:t xml:space="preserve">, </w:t>
      </w:r>
      <w:r w:rsidRPr="003C1B5B">
        <w:rPr>
          <w:lang w:val="it-IT"/>
        </w:rPr>
        <w:t xml:space="preserve">per lo studio della potenziale utilità clinica nel setting </w:t>
      </w:r>
      <w:r w:rsidR="00671A41" w:rsidRPr="003C1B5B">
        <w:rPr>
          <w:lang w:val="it-IT"/>
        </w:rPr>
        <w:t>pre-taxan</w:t>
      </w:r>
      <w:r w:rsidRPr="003C1B5B">
        <w:rPr>
          <w:lang w:val="it-IT"/>
        </w:rPr>
        <w:t>o</w:t>
      </w:r>
      <w:r w:rsidR="00671A41" w:rsidRPr="003C1B5B">
        <w:rPr>
          <w:lang w:val="it-IT"/>
        </w:rPr>
        <w:t xml:space="preserve"> (PSMAfore) </w:t>
      </w:r>
      <w:r w:rsidRPr="003C1B5B">
        <w:rPr>
          <w:lang w:val="it-IT"/>
        </w:rPr>
        <w:t xml:space="preserve">del mCRPC e in quello metastatico sensibile agli ormoni </w:t>
      </w:r>
      <w:r w:rsidR="00671A41" w:rsidRPr="003C1B5B">
        <w:rPr>
          <w:lang w:val="it-IT"/>
        </w:rPr>
        <w:t>(PSMAddition).</w:t>
      </w:r>
    </w:p>
    <w:p w14:paraId="2064F4BB" w14:textId="77777777" w:rsidR="007A3A6C" w:rsidRPr="003C1B5B" w:rsidRDefault="007A3A6C" w:rsidP="00457492">
      <w:pPr>
        <w:jc w:val="both"/>
        <w:rPr>
          <w:rFonts w:ascii="Arial" w:eastAsia="Times New Roman" w:hAnsi="Arial" w:cs="Arial"/>
          <w:lang w:val="it-IT"/>
        </w:rPr>
      </w:pPr>
    </w:p>
    <w:p w14:paraId="5C0D710A" w14:textId="77777777" w:rsidR="007A3A6C" w:rsidRPr="003C1B5B" w:rsidRDefault="00495340" w:rsidP="00457492">
      <w:pPr>
        <w:jc w:val="both"/>
        <w:rPr>
          <w:rFonts w:ascii="Arial" w:hAnsi="Arial" w:cs="Arial"/>
          <w:lang w:val="it-IT"/>
        </w:rPr>
      </w:pPr>
      <w:r w:rsidRPr="003C1B5B">
        <w:rPr>
          <w:rFonts w:ascii="Arial" w:hAnsi="Arial" w:cs="Arial"/>
          <w:b/>
          <w:bCs/>
          <w:lang w:val="it-IT"/>
        </w:rPr>
        <w:t xml:space="preserve">Ulteriori dati dello studio </w:t>
      </w:r>
      <w:r w:rsidR="007A3A6C" w:rsidRPr="003C1B5B">
        <w:rPr>
          <w:rFonts w:ascii="Arial" w:hAnsi="Arial" w:cs="Arial"/>
          <w:b/>
          <w:bCs/>
          <w:lang w:val="it-IT"/>
        </w:rPr>
        <w:t xml:space="preserve">VISION </w:t>
      </w:r>
    </w:p>
    <w:p w14:paraId="0AB674F0" w14:textId="77777777" w:rsidR="00237568" w:rsidRPr="003C1B5B" w:rsidRDefault="00CC6F1E" w:rsidP="00457492">
      <w:pPr>
        <w:pStyle w:val="Bullet2"/>
        <w:keepLines w:val="0"/>
        <w:numPr>
          <w:ilvl w:val="0"/>
          <w:numId w:val="0"/>
        </w:numPr>
        <w:adjustRightInd/>
        <w:jc w:val="both"/>
        <w:rPr>
          <w:lang w:val="it-IT"/>
        </w:rPr>
      </w:pPr>
      <w:r w:rsidRPr="003C1B5B">
        <w:rPr>
          <w:lang w:val="it-IT"/>
        </w:rPr>
        <w:t>Nello studio VISION l</w:t>
      </w:r>
      <w:r w:rsidR="00495340" w:rsidRPr="003C1B5B">
        <w:rPr>
          <w:lang w:val="it-IT"/>
        </w:rPr>
        <w:t xml:space="preserve">a sopravvivenza globale mediana </w:t>
      </w:r>
      <w:r w:rsidR="00237568" w:rsidRPr="003C1B5B">
        <w:rPr>
          <w:lang w:val="it-IT"/>
        </w:rPr>
        <w:t xml:space="preserve">(95% CI) </w:t>
      </w:r>
      <w:r w:rsidR="00495340" w:rsidRPr="003C1B5B">
        <w:rPr>
          <w:lang w:val="it-IT"/>
        </w:rPr>
        <w:t xml:space="preserve">nel braccio con </w:t>
      </w:r>
      <w:r w:rsidR="00237568" w:rsidRPr="003C1B5B">
        <w:rPr>
          <w:vertAlign w:val="superscript"/>
          <w:lang w:val="it-IT"/>
        </w:rPr>
        <w:t>177</w:t>
      </w:r>
      <w:r w:rsidR="00237568" w:rsidRPr="003C1B5B">
        <w:rPr>
          <w:lang w:val="it-IT"/>
        </w:rPr>
        <w:t xml:space="preserve">Lu-PSMA-617 </w:t>
      </w:r>
      <w:r w:rsidRPr="003C1B5B">
        <w:rPr>
          <w:lang w:val="it-IT"/>
        </w:rPr>
        <w:t xml:space="preserve">in aggiunta al </w:t>
      </w:r>
      <w:r w:rsidR="00495340" w:rsidRPr="003C1B5B">
        <w:rPr>
          <w:lang w:val="it-IT"/>
        </w:rPr>
        <w:t xml:space="preserve">miglior standard di cura era di </w:t>
      </w:r>
      <w:r w:rsidR="00237568" w:rsidRPr="003C1B5B">
        <w:rPr>
          <w:lang w:val="it-IT"/>
        </w:rPr>
        <w:t>15</w:t>
      </w:r>
      <w:r w:rsidR="00495340" w:rsidRPr="003C1B5B">
        <w:rPr>
          <w:lang w:val="it-IT"/>
        </w:rPr>
        <w:t>,</w:t>
      </w:r>
      <w:r w:rsidR="00237568" w:rsidRPr="003C1B5B">
        <w:rPr>
          <w:lang w:val="it-IT"/>
        </w:rPr>
        <w:t xml:space="preserve">3 </w:t>
      </w:r>
      <w:r w:rsidR="00495340" w:rsidRPr="003C1B5B">
        <w:rPr>
          <w:lang w:val="it-IT"/>
        </w:rPr>
        <w:t>mesi</w:t>
      </w:r>
      <w:r w:rsidR="00237568" w:rsidRPr="003C1B5B">
        <w:rPr>
          <w:lang w:val="it-IT"/>
        </w:rPr>
        <w:t xml:space="preserve"> (14</w:t>
      </w:r>
      <w:r w:rsidR="00495340" w:rsidRPr="003C1B5B">
        <w:rPr>
          <w:lang w:val="it-IT"/>
        </w:rPr>
        <w:t>,</w:t>
      </w:r>
      <w:r w:rsidR="00237568" w:rsidRPr="003C1B5B">
        <w:rPr>
          <w:lang w:val="it-IT"/>
        </w:rPr>
        <w:t>2</w:t>
      </w:r>
      <w:r w:rsidR="00495340" w:rsidRPr="003C1B5B">
        <w:rPr>
          <w:lang w:val="it-IT"/>
        </w:rPr>
        <w:t xml:space="preserve"> –</w:t>
      </w:r>
      <w:r w:rsidR="00237568" w:rsidRPr="003C1B5B">
        <w:rPr>
          <w:lang w:val="it-IT"/>
        </w:rPr>
        <w:t xml:space="preserve"> 16</w:t>
      </w:r>
      <w:r w:rsidR="00495340" w:rsidRPr="003C1B5B">
        <w:rPr>
          <w:lang w:val="it-IT"/>
        </w:rPr>
        <w:t>,</w:t>
      </w:r>
      <w:r w:rsidR="00237568" w:rsidRPr="003C1B5B">
        <w:rPr>
          <w:lang w:val="it-IT"/>
        </w:rPr>
        <w:t xml:space="preserve">9), </w:t>
      </w:r>
      <w:r w:rsidR="00495340" w:rsidRPr="003C1B5B">
        <w:rPr>
          <w:lang w:val="it-IT"/>
        </w:rPr>
        <w:t xml:space="preserve">rispetto a </w:t>
      </w:r>
      <w:r w:rsidR="00237568" w:rsidRPr="003C1B5B">
        <w:rPr>
          <w:lang w:val="it-IT"/>
        </w:rPr>
        <w:t>11</w:t>
      </w:r>
      <w:r w:rsidR="00495340" w:rsidRPr="003C1B5B">
        <w:rPr>
          <w:lang w:val="it-IT"/>
        </w:rPr>
        <w:t>,</w:t>
      </w:r>
      <w:r w:rsidR="00237568" w:rsidRPr="003C1B5B">
        <w:rPr>
          <w:lang w:val="it-IT"/>
        </w:rPr>
        <w:t>3 m</w:t>
      </w:r>
      <w:r w:rsidR="00495340" w:rsidRPr="003C1B5B">
        <w:rPr>
          <w:lang w:val="it-IT"/>
        </w:rPr>
        <w:t>esi</w:t>
      </w:r>
      <w:r w:rsidR="00237568" w:rsidRPr="003C1B5B">
        <w:rPr>
          <w:lang w:val="it-IT"/>
        </w:rPr>
        <w:t xml:space="preserve"> (9</w:t>
      </w:r>
      <w:r w:rsidR="00495340" w:rsidRPr="003C1B5B">
        <w:rPr>
          <w:lang w:val="it-IT"/>
        </w:rPr>
        <w:t>,</w:t>
      </w:r>
      <w:r w:rsidR="00237568" w:rsidRPr="003C1B5B">
        <w:rPr>
          <w:lang w:val="it-IT"/>
        </w:rPr>
        <w:t>8</w:t>
      </w:r>
      <w:r w:rsidR="00495340" w:rsidRPr="003C1B5B">
        <w:rPr>
          <w:lang w:val="it-IT"/>
        </w:rPr>
        <w:t xml:space="preserve"> –</w:t>
      </w:r>
      <w:r w:rsidR="00237568" w:rsidRPr="003C1B5B">
        <w:rPr>
          <w:lang w:val="it-IT"/>
        </w:rPr>
        <w:t xml:space="preserve"> 13</w:t>
      </w:r>
      <w:r w:rsidR="00495340" w:rsidRPr="003C1B5B">
        <w:rPr>
          <w:lang w:val="it-IT"/>
        </w:rPr>
        <w:t>,</w:t>
      </w:r>
      <w:r w:rsidR="00237568" w:rsidRPr="003C1B5B">
        <w:rPr>
          <w:lang w:val="it-IT"/>
        </w:rPr>
        <w:t xml:space="preserve">5) in </w:t>
      </w:r>
      <w:r w:rsidR="00495340" w:rsidRPr="003C1B5B">
        <w:rPr>
          <w:lang w:val="it-IT"/>
        </w:rPr>
        <w:t>quello con il solo miglior standard di cura</w:t>
      </w:r>
      <w:r w:rsidR="00237568" w:rsidRPr="003C1B5B">
        <w:rPr>
          <w:vertAlign w:val="superscript"/>
          <w:lang w:val="it-IT"/>
        </w:rPr>
        <w:t>1</w:t>
      </w:r>
      <w:r w:rsidR="00237568" w:rsidRPr="003C1B5B">
        <w:rPr>
          <w:lang w:val="it-IT"/>
        </w:rPr>
        <w:t xml:space="preserve">. </w:t>
      </w:r>
      <w:r w:rsidR="00495340" w:rsidRPr="003C1B5B">
        <w:rPr>
          <w:lang w:val="it-IT"/>
        </w:rPr>
        <w:t xml:space="preserve">La sopravvivenza libera da </w:t>
      </w:r>
      <w:r w:rsidR="00495340" w:rsidRPr="003C1B5B">
        <w:rPr>
          <w:lang w:val="it-IT"/>
        </w:rPr>
        <w:lastRenderedPageBreak/>
        <w:t>progressione rilevata radiograficamente (</w:t>
      </w:r>
      <w:r w:rsidR="00237568" w:rsidRPr="003C1B5B">
        <w:rPr>
          <w:lang w:val="it-IT"/>
        </w:rPr>
        <w:t>rPFS</w:t>
      </w:r>
      <w:r w:rsidR="00495340" w:rsidRPr="003C1B5B">
        <w:rPr>
          <w:lang w:val="it-IT"/>
        </w:rPr>
        <w:t>)</w:t>
      </w:r>
      <w:r w:rsidR="00237568" w:rsidRPr="003C1B5B">
        <w:rPr>
          <w:lang w:val="it-IT"/>
        </w:rPr>
        <w:t xml:space="preserve"> (99</w:t>
      </w:r>
      <w:r w:rsidR="00495340" w:rsidRPr="003C1B5B">
        <w:rPr>
          <w:lang w:val="it-IT"/>
        </w:rPr>
        <w:t>,</w:t>
      </w:r>
      <w:r w:rsidR="00237568" w:rsidRPr="003C1B5B">
        <w:rPr>
          <w:lang w:val="it-IT"/>
        </w:rPr>
        <w:t xml:space="preserve">2% CI) </w:t>
      </w:r>
      <w:r w:rsidR="00495340" w:rsidRPr="003C1B5B">
        <w:rPr>
          <w:lang w:val="it-IT"/>
        </w:rPr>
        <w:t xml:space="preserve">era di </w:t>
      </w:r>
      <w:r w:rsidR="00237568" w:rsidRPr="003C1B5B">
        <w:rPr>
          <w:lang w:val="it-IT"/>
        </w:rPr>
        <w:t>8</w:t>
      </w:r>
      <w:r w:rsidR="00495340" w:rsidRPr="003C1B5B">
        <w:rPr>
          <w:lang w:val="it-IT"/>
        </w:rPr>
        <w:t>,</w:t>
      </w:r>
      <w:r w:rsidR="00237568" w:rsidRPr="003C1B5B">
        <w:rPr>
          <w:lang w:val="it-IT"/>
        </w:rPr>
        <w:t xml:space="preserve">7 </w:t>
      </w:r>
      <w:r w:rsidR="00495340" w:rsidRPr="003C1B5B">
        <w:rPr>
          <w:lang w:val="it-IT"/>
        </w:rPr>
        <w:t xml:space="preserve">mesi </w:t>
      </w:r>
      <w:r w:rsidR="00237568" w:rsidRPr="003C1B5B">
        <w:rPr>
          <w:lang w:val="it-IT"/>
        </w:rPr>
        <w:t>(7</w:t>
      </w:r>
      <w:r w:rsidR="00495340" w:rsidRPr="003C1B5B">
        <w:rPr>
          <w:lang w:val="it-IT"/>
        </w:rPr>
        <w:t>,</w:t>
      </w:r>
      <w:r w:rsidR="00237568" w:rsidRPr="003C1B5B">
        <w:rPr>
          <w:lang w:val="it-IT"/>
        </w:rPr>
        <w:t>9</w:t>
      </w:r>
      <w:r w:rsidR="00495340" w:rsidRPr="003C1B5B">
        <w:rPr>
          <w:lang w:val="it-IT"/>
        </w:rPr>
        <w:t xml:space="preserve"> –</w:t>
      </w:r>
      <w:r w:rsidR="00237568" w:rsidRPr="003C1B5B">
        <w:rPr>
          <w:lang w:val="it-IT"/>
        </w:rPr>
        <w:t xml:space="preserve"> 10</w:t>
      </w:r>
      <w:r w:rsidR="00495340" w:rsidRPr="003C1B5B">
        <w:rPr>
          <w:lang w:val="it-IT"/>
        </w:rPr>
        <w:t>,</w:t>
      </w:r>
      <w:r w:rsidR="00237568" w:rsidRPr="003C1B5B">
        <w:rPr>
          <w:lang w:val="it-IT"/>
        </w:rPr>
        <w:t xml:space="preserve">8) </w:t>
      </w:r>
      <w:r w:rsidR="00495340" w:rsidRPr="003C1B5B">
        <w:rPr>
          <w:lang w:val="it-IT"/>
        </w:rPr>
        <w:t xml:space="preserve">per il braccio con </w:t>
      </w:r>
      <w:r w:rsidR="00237568" w:rsidRPr="003C1B5B">
        <w:rPr>
          <w:vertAlign w:val="superscript"/>
          <w:lang w:val="it-IT"/>
        </w:rPr>
        <w:t>177</w:t>
      </w:r>
      <w:r w:rsidR="00237568" w:rsidRPr="003C1B5B">
        <w:rPr>
          <w:lang w:val="it-IT"/>
        </w:rPr>
        <w:t xml:space="preserve">Lu-PSMA-617 </w:t>
      </w:r>
      <w:r w:rsidR="0075609C" w:rsidRPr="003C1B5B">
        <w:rPr>
          <w:lang w:val="it-IT"/>
        </w:rPr>
        <w:t>rispetto a</w:t>
      </w:r>
      <w:r w:rsidR="00495340" w:rsidRPr="003C1B5B">
        <w:rPr>
          <w:lang w:val="it-IT"/>
        </w:rPr>
        <w:t xml:space="preserve"> </w:t>
      </w:r>
      <w:r w:rsidR="00237568" w:rsidRPr="003C1B5B">
        <w:rPr>
          <w:lang w:val="it-IT"/>
        </w:rPr>
        <w:t>3</w:t>
      </w:r>
      <w:r w:rsidR="00495340" w:rsidRPr="003C1B5B">
        <w:rPr>
          <w:lang w:val="it-IT"/>
        </w:rPr>
        <w:t>,</w:t>
      </w:r>
      <w:r w:rsidR="00237568" w:rsidRPr="003C1B5B">
        <w:rPr>
          <w:lang w:val="it-IT"/>
        </w:rPr>
        <w:t xml:space="preserve">4 </w:t>
      </w:r>
      <w:r w:rsidR="00495340" w:rsidRPr="003C1B5B">
        <w:rPr>
          <w:lang w:val="it-IT"/>
        </w:rPr>
        <w:t xml:space="preserve">mesi </w:t>
      </w:r>
      <w:r w:rsidR="00237568" w:rsidRPr="003C1B5B">
        <w:rPr>
          <w:lang w:val="it-IT"/>
        </w:rPr>
        <w:t>(2</w:t>
      </w:r>
      <w:r w:rsidR="00495340" w:rsidRPr="003C1B5B">
        <w:rPr>
          <w:lang w:val="it-IT"/>
        </w:rPr>
        <w:t>,</w:t>
      </w:r>
      <w:r w:rsidR="00237568" w:rsidRPr="003C1B5B">
        <w:rPr>
          <w:lang w:val="it-IT"/>
        </w:rPr>
        <w:t>4</w:t>
      </w:r>
      <w:r w:rsidR="00495340" w:rsidRPr="003C1B5B">
        <w:rPr>
          <w:lang w:val="it-IT"/>
        </w:rPr>
        <w:t xml:space="preserve"> –</w:t>
      </w:r>
      <w:r w:rsidR="00237568" w:rsidRPr="003C1B5B">
        <w:rPr>
          <w:lang w:val="it-IT"/>
        </w:rPr>
        <w:t xml:space="preserve"> 4</w:t>
      </w:r>
      <w:r w:rsidR="00495340" w:rsidRPr="003C1B5B">
        <w:rPr>
          <w:lang w:val="it-IT"/>
        </w:rPr>
        <w:t>,</w:t>
      </w:r>
      <w:r w:rsidR="00237568" w:rsidRPr="003C1B5B">
        <w:rPr>
          <w:lang w:val="it-IT"/>
        </w:rPr>
        <w:t xml:space="preserve">0) </w:t>
      </w:r>
      <w:r w:rsidR="00495340" w:rsidRPr="003C1B5B">
        <w:rPr>
          <w:lang w:val="it-IT"/>
        </w:rPr>
        <w:t>per il braccio con il solo miglior standard di cura</w:t>
      </w:r>
      <w:r w:rsidR="00237568" w:rsidRPr="003C1B5B">
        <w:rPr>
          <w:vertAlign w:val="superscript"/>
          <w:lang w:val="it-IT"/>
        </w:rPr>
        <w:t>1</w:t>
      </w:r>
      <w:r w:rsidR="00237568" w:rsidRPr="003C1B5B">
        <w:rPr>
          <w:lang w:val="it-IT"/>
        </w:rPr>
        <w:t xml:space="preserve">. </w:t>
      </w:r>
    </w:p>
    <w:p w14:paraId="14B0C8AC" w14:textId="77777777" w:rsidR="00237568" w:rsidRPr="003C1B5B" w:rsidRDefault="00237568" w:rsidP="00457492">
      <w:pPr>
        <w:pStyle w:val="Bullet2"/>
        <w:keepLines w:val="0"/>
        <w:numPr>
          <w:ilvl w:val="0"/>
          <w:numId w:val="0"/>
        </w:numPr>
        <w:adjustRightInd/>
        <w:jc w:val="both"/>
        <w:rPr>
          <w:lang w:val="it-IT"/>
        </w:rPr>
      </w:pPr>
    </w:p>
    <w:p w14:paraId="5D0F2BC6" w14:textId="77777777" w:rsidR="00E17119" w:rsidRPr="003C1B5B" w:rsidRDefault="00495340" w:rsidP="00457492">
      <w:pPr>
        <w:pStyle w:val="Bullet2"/>
        <w:keepLines w:val="0"/>
        <w:numPr>
          <w:ilvl w:val="0"/>
          <w:numId w:val="0"/>
        </w:numPr>
        <w:adjustRightInd/>
        <w:jc w:val="both"/>
        <w:rPr>
          <w:lang w:val="it-IT"/>
        </w:rPr>
      </w:pPr>
      <w:r w:rsidRPr="003C1B5B">
        <w:rPr>
          <w:lang w:val="it-IT"/>
        </w:rPr>
        <w:t xml:space="preserve">Sono stati raggiunti anche i principali </w:t>
      </w:r>
      <w:r w:rsidR="00237568" w:rsidRPr="003C1B5B">
        <w:rPr>
          <w:lang w:val="it-IT"/>
        </w:rPr>
        <w:t>endpoint</w:t>
      </w:r>
      <w:r w:rsidRPr="003C1B5B">
        <w:rPr>
          <w:lang w:val="it-IT"/>
        </w:rPr>
        <w:t xml:space="preserve"> secondari. Il tempo medio allo sviluppo del primo evento scheletrico sintomatico era</w:t>
      </w:r>
      <w:r w:rsidR="0075609C" w:rsidRPr="003C1B5B">
        <w:rPr>
          <w:lang w:val="it-IT"/>
        </w:rPr>
        <w:t xml:space="preserve"> di</w:t>
      </w:r>
      <w:r w:rsidRPr="003C1B5B">
        <w:rPr>
          <w:lang w:val="it-IT"/>
        </w:rPr>
        <w:t xml:space="preserve"> </w:t>
      </w:r>
      <w:r w:rsidR="00237568" w:rsidRPr="003C1B5B">
        <w:rPr>
          <w:lang w:val="it-IT"/>
        </w:rPr>
        <w:t>11</w:t>
      </w:r>
      <w:r w:rsidRPr="003C1B5B">
        <w:rPr>
          <w:lang w:val="it-IT"/>
        </w:rPr>
        <w:t>,</w:t>
      </w:r>
      <w:r w:rsidR="00237568" w:rsidRPr="003C1B5B">
        <w:rPr>
          <w:lang w:val="it-IT"/>
        </w:rPr>
        <w:t xml:space="preserve">5 </w:t>
      </w:r>
      <w:r w:rsidRPr="003C1B5B">
        <w:rPr>
          <w:lang w:val="it-IT"/>
        </w:rPr>
        <w:t>mesi</w:t>
      </w:r>
      <w:r w:rsidR="00237568" w:rsidRPr="003C1B5B">
        <w:rPr>
          <w:lang w:val="it-IT"/>
        </w:rPr>
        <w:t xml:space="preserve"> (95% CI:10</w:t>
      </w:r>
      <w:r w:rsidR="004A585D" w:rsidRPr="003C1B5B">
        <w:rPr>
          <w:lang w:val="it-IT"/>
        </w:rPr>
        <w:t>,</w:t>
      </w:r>
      <w:r w:rsidR="00237568" w:rsidRPr="003C1B5B">
        <w:rPr>
          <w:lang w:val="it-IT"/>
        </w:rPr>
        <w:t>3</w:t>
      </w:r>
      <w:r w:rsidR="004A585D" w:rsidRPr="003C1B5B">
        <w:rPr>
          <w:lang w:val="it-IT"/>
        </w:rPr>
        <w:t xml:space="preserve"> -</w:t>
      </w:r>
      <w:r w:rsidR="00237568" w:rsidRPr="003C1B5B">
        <w:rPr>
          <w:lang w:val="it-IT"/>
        </w:rPr>
        <w:t>13</w:t>
      </w:r>
      <w:r w:rsidR="004A585D" w:rsidRPr="003C1B5B">
        <w:rPr>
          <w:lang w:val="it-IT"/>
        </w:rPr>
        <w:t>,</w:t>
      </w:r>
      <w:r w:rsidR="00237568" w:rsidRPr="003C1B5B">
        <w:rPr>
          <w:lang w:val="it-IT"/>
        </w:rPr>
        <w:t>2)</w:t>
      </w:r>
      <w:r w:rsidR="004A585D" w:rsidRPr="003C1B5B">
        <w:rPr>
          <w:lang w:val="it-IT"/>
        </w:rPr>
        <w:t xml:space="preserve"> nel braccio con </w:t>
      </w:r>
      <w:r w:rsidR="00237568" w:rsidRPr="003C1B5B">
        <w:rPr>
          <w:vertAlign w:val="superscript"/>
          <w:lang w:val="it-IT"/>
        </w:rPr>
        <w:t>177</w:t>
      </w:r>
      <w:r w:rsidR="00237568" w:rsidRPr="003C1B5B">
        <w:rPr>
          <w:lang w:val="it-IT"/>
        </w:rPr>
        <w:t xml:space="preserve">Lu-PSMA-617 </w:t>
      </w:r>
      <w:r w:rsidR="004A585D" w:rsidRPr="003C1B5B">
        <w:rPr>
          <w:lang w:val="it-IT"/>
        </w:rPr>
        <w:t xml:space="preserve">rispetto a </w:t>
      </w:r>
      <w:r w:rsidR="00237568" w:rsidRPr="003C1B5B">
        <w:rPr>
          <w:lang w:val="it-IT"/>
        </w:rPr>
        <w:t>6</w:t>
      </w:r>
      <w:r w:rsidR="004A585D" w:rsidRPr="003C1B5B">
        <w:rPr>
          <w:lang w:val="it-IT"/>
        </w:rPr>
        <w:t>,</w:t>
      </w:r>
      <w:r w:rsidR="00237568" w:rsidRPr="003C1B5B">
        <w:rPr>
          <w:lang w:val="it-IT"/>
        </w:rPr>
        <w:t>8 m</w:t>
      </w:r>
      <w:r w:rsidR="004A585D" w:rsidRPr="003C1B5B">
        <w:rPr>
          <w:lang w:val="it-IT"/>
        </w:rPr>
        <w:t>esi</w:t>
      </w:r>
      <w:r w:rsidR="00237568" w:rsidRPr="003C1B5B">
        <w:rPr>
          <w:lang w:val="it-IT"/>
        </w:rPr>
        <w:t xml:space="preserve"> (95% CI:5</w:t>
      </w:r>
      <w:r w:rsidR="004A585D" w:rsidRPr="003C1B5B">
        <w:rPr>
          <w:lang w:val="it-IT"/>
        </w:rPr>
        <w:t>,</w:t>
      </w:r>
      <w:r w:rsidR="00237568" w:rsidRPr="003C1B5B">
        <w:rPr>
          <w:lang w:val="it-IT"/>
        </w:rPr>
        <w:t>2</w:t>
      </w:r>
      <w:r w:rsidR="004A585D" w:rsidRPr="003C1B5B">
        <w:rPr>
          <w:lang w:val="it-IT"/>
        </w:rPr>
        <w:t xml:space="preserve"> – </w:t>
      </w:r>
      <w:r w:rsidR="00237568" w:rsidRPr="003C1B5B">
        <w:rPr>
          <w:lang w:val="it-IT"/>
        </w:rPr>
        <w:t>8</w:t>
      </w:r>
      <w:r w:rsidR="004A585D" w:rsidRPr="003C1B5B">
        <w:rPr>
          <w:lang w:val="it-IT"/>
        </w:rPr>
        <w:t>,</w:t>
      </w:r>
      <w:r w:rsidR="00237568" w:rsidRPr="003C1B5B">
        <w:rPr>
          <w:lang w:val="it-IT"/>
        </w:rPr>
        <w:t xml:space="preserve">5) in </w:t>
      </w:r>
      <w:r w:rsidR="004A585D" w:rsidRPr="003C1B5B">
        <w:rPr>
          <w:lang w:val="it-IT"/>
        </w:rPr>
        <w:t xml:space="preserve">quello con il solo miglior standard di cura </w:t>
      </w:r>
      <w:r w:rsidR="00237568" w:rsidRPr="003C1B5B">
        <w:rPr>
          <w:lang w:val="it-IT"/>
        </w:rPr>
        <w:t>(</w:t>
      </w:r>
      <w:r w:rsidR="0058096F" w:rsidRPr="003C1B5B">
        <w:rPr>
          <w:lang w:val="it-IT"/>
        </w:rPr>
        <w:t>rapport</w:t>
      </w:r>
      <w:r w:rsidR="00271086" w:rsidRPr="003C1B5B">
        <w:rPr>
          <w:lang w:val="it-IT"/>
        </w:rPr>
        <w:t>o</w:t>
      </w:r>
      <w:r w:rsidR="0058096F" w:rsidRPr="003C1B5B">
        <w:rPr>
          <w:lang w:val="it-IT"/>
        </w:rPr>
        <w:t xml:space="preserve"> di rischio</w:t>
      </w:r>
      <w:r w:rsidR="00237568" w:rsidRPr="003C1B5B">
        <w:rPr>
          <w:lang w:val="it-IT"/>
        </w:rPr>
        <w:t>: 0</w:t>
      </w:r>
      <w:r w:rsidR="004A585D" w:rsidRPr="003C1B5B">
        <w:rPr>
          <w:lang w:val="it-IT"/>
        </w:rPr>
        <w:t>,</w:t>
      </w:r>
      <w:r w:rsidR="00237568" w:rsidRPr="003C1B5B">
        <w:rPr>
          <w:lang w:val="it-IT"/>
        </w:rPr>
        <w:t>50 (95%CI:0</w:t>
      </w:r>
      <w:r w:rsidR="004A585D" w:rsidRPr="003C1B5B">
        <w:rPr>
          <w:lang w:val="it-IT"/>
        </w:rPr>
        <w:t>,</w:t>
      </w:r>
      <w:r w:rsidR="00237568" w:rsidRPr="003C1B5B">
        <w:rPr>
          <w:lang w:val="it-IT"/>
        </w:rPr>
        <w:t>40</w:t>
      </w:r>
      <w:r w:rsidR="004A585D" w:rsidRPr="003C1B5B">
        <w:rPr>
          <w:lang w:val="it-IT"/>
        </w:rPr>
        <w:t xml:space="preserve"> –</w:t>
      </w:r>
      <w:r w:rsidR="00237568" w:rsidRPr="003C1B5B">
        <w:rPr>
          <w:lang w:val="it-IT"/>
        </w:rPr>
        <w:t xml:space="preserve"> 0</w:t>
      </w:r>
      <w:r w:rsidR="004A585D" w:rsidRPr="003C1B5B">
        <w:rPr>
          <w:lang w:val="it-IT"/>
        </w:rPr>
        <w:t>,</w:t>
      </w:r>
      <w:r w:rsidR="00237568" w:rsidRPr="003C1B5B">
        <w:rPr>
          <w:lang w:val="it-IT"/>
        </w:rPr>
        <w:t>62)); p-value</w:t>
      </w:r>
      <w:r w:rsidR="004A585D" w:rsidRPr="003C1B5B">
        <w:rPr>
          <w:lang w:val="it-IT"/>
        </w:rPr>
        <w:t xml:space="preserve"> bilaterale</w:t>
      </w:r>
      <w:r w:rsidR="00237568" w:rsidRPr="003C1B5B">
        <w:rPr>
          <w:lang w:val="it-IT"/>
        </w:rPr>
        <w:t>: &lt;0</w:t>
      </w:r>
      <w:r w:rsidR="004A585D" w:rsidRPr="003C1B5B">
        <w:rPr>
          <w:lang w:val="it-IT"/>
        </w:rPr>
        <w:t>,</w:t>
      </w:r>
      <w:r w:rsidR="00237568" w:rsidRPr="003C1B5B">
        <w:rPr>
          <w:lang w:val="it-IT"/>
        </w:rPr>
        <w:t>001</w:t>
      </w:r>
      <w:r w:rsidR="00237568" w:rsidRPr="003C1B5B">
        <w:rPr>
          <w:vertAlign w:val="superscript"/>
          <w:lang w:val="it-IT"/>
        </w:rPr>
        <w:t>1</w:t>
      </w:r>
      <w:r w:rsidR="00237568" w:rsidRPr="003C1B5B">
        <w:rPr>
          <w:lang w:val="it-IT"/>
        </w:rPr>
        <w:t xml:space="preserve">. </w:t>
      </w:r>
      <w:r w:rsidR="004A585D" w:rsidRPr="003C1B5B">
        <w:rPr>
          <w:lang w:val="it-IT"/>
        </w:rPr>
        <w:t>Inoltre sono state osservate differenze significative nel tasso di risposta globale dei pazienti con</w:t>
      </w:r>
      <w:r w:rsidR="00E17119" w:rsidRPr="003C1B5B">
        <w:rPr>
          <w:lang w:val="it-IT"/>
        </w:rPr>
        <w:t xml:space="preserve"> </w:t>
      </w:r>
      <w:r w:rsidR="004A585D" w:rsidRPr="003C1B5B">
        <w:rPr>
          <w:lang w:val="it-IT"/>
        </w:rPr>
        <w:t>malattia misurabile al basale</w:t>
      </w:r>
      <w:r w:rsidR="00E17119" w:rsidRPr="003C1B5B">
        <w:rPr>
          <w:lang w:val="it-IT"/>
        </w:rPr>
        <w:t xml:space="preserve"> (51</w:t>
      </w:r>
      <w:r w:rsidR="004A585D" w:rsidRPr="003C1B5B">
        <w:rPr>
          <w:lang w:val="it-IT"/>
        </w:rPr>
        <w:t>,</w:t>
      </w:r>
      <w:r w:rsidR="00E17119" w:rsidRPr="003C1B5B">
        <w:rPr>
          <w:lang w:val="it-IT"/>
        </w:rPr>
        <w:t xml:space="preserve">1% </w:t>
      </w:r>
      <w:r w:rsidR="004A585D" w:rsidRPr="003C1B5B">
        <w:rPr>
          <w:lang w:val="it-IT"/>
        </w:rPr>
        <w:t xml:space="preserve">di risposta parziale o completa nel braccio con </w:t>
      </w:r>
      <w:r w:rsidR="00E17119" w:rsidRPr="003C1B5B">
        <w:rPr>
          <w:vertAlign w:val="superscript"/>
          <w:lang w:val="it-IT"/>
        </w:rPr>
        <w:t>177</w:t>
      </w:r>
      <w:r w:rsidR="00E17119" w:rsidRPr="003C1B5B">
        <w:rPr>
          <w:lang w:val="it-IT"/>
        </w:rPr>
        <w:t xml:space="preserve">Lu-PSMA-617 </w:t>
      </w:r>
      <w:r w:rsidR="004A585D" w:rsidRPr="003C1B5B">
        <w:rPr>
          <w:lang w:val="it-IT"/>
        </w:rPr>
        <w:t xml:space="preserve">versus </w:t>
      </w:r>
      <w:r w:rsidR="00E17119" w:rsidRPr="003C1B5B">
        <w:rPr>
          <w:lang w:val="it-IT"/>
        </w:rPr>
        <w:t>3</w:t>
      </w:r>
      <w:r w:rsidR="004A585D" w:rsidRPr="003C1B5B">
        <w:rPr>
          <w:lang w:val="it-IT"/>
        </w:rPr>
        <w:t>,</w:t>
      </w:r>
      <w:r w:rsidR="00E17119" w:rsidRPr="003C1B5B">
        <w:rPr>
          <w:lang w:val="it-IT"/>
        </w:rPr>
        <w:t xml:space="preserve">1% </w:t>
      </w:r>
      <w:r w:rsidR="004A585D" w:rsidRPr="003C1B5B">
        <w:rPr>
          <w:lang w:val="it-IT"/>
        </w:rPr>
        <w:t xml:space="preserve">di risposta parziale nel braccio con il solo miglior standard di cura </w:t>
      </w:r>
      <w:r w:rsidR="00E17119" w:rsidRPr="003C1B5B">
        <w:rPr>
          <w:lang w:val="it-IT"/>
        </w:rPr>
        <w:t>(p-value</w:t>
      </w:r>
      <w:r w:rsidR="004A585D" w:rsidRPr="003C1B5B">
        <w:rPr>
          <w:lang w:val="it-IT"/>
        </w:rPr>
        <w:t xml:space="preserve"> bilaterale</w:t>
      </w:r>
      <w:r w:rsidR="00E17119" w:rsidRPr="003C1B5B">
        <w:rPr>
          <w:lang w:val="it-IT"/>
        </w:rPr>
        <w:t>: &lt;0</w:t>
      </w:r>
      <w:r w:rsidR="004A585D" w:rsidRPr="003C1B5B">
        <w:rPr>
          <w:lang w:val="it-IT"/>
        </w:rPr>
        <w:t>,</w:t>
      </w:r>
      <w:r w:rsidR="00E17119" w:rsidRPr="003C1B5B">
        <w:rPr>
          <w:lang w:val="it-IT"/>
        </w:rPr>
        <w:t xml:space="preserve">001) </w:t>
      </w:r>
      <w:r w:rsidR="004A585D" w:rsidRPr="003C1B5B">
        <w:rPr>
          <w:lang w:val="it-IT"/>
        </w:rPr>
        <w:t>e nel tasso di controllo della malattia</w:t>
      </w:r>
      <w:r w:rsidR="00E17119" w:rsidRPr="003C1B5B">
        <w:rPr>
          <w:lang w:val="it-IT"/>
        </w:rPr>
        <w:t xml:space="preserve"> (86</w:t>
      </w:r>
      <w:r w:rsidR="004A585D" w:rsidRPr="003C1B5B">
        <w:rPr>
          <w:lang w:val="it-IT"/>
        </w:rPr>
        <w:t>,</w:t>
      </w:r>
      <w:r w:rsidR="00E17119" w:rsidRPr="003C1B5B">
        <w:rPr>
          <w:lang w:val="it-IT"/>
        </w:rPr>
        <w:t xml:space="preserve">4% </w:t>
      </w:r>
      <w:r w:rsidR="004A585D" w:rsidRPr="003C1B5B">
        <w:rPr>
          <w:lang w:val="it-IT"/>
        </w:rPr>
        <w:t xml:space="preserve">nel braccio con </w:t>
      </w:r>
      <w:r w:rsidR="00E17119" w:rsidRPr="003C1B5B">
        <w:rPr>
          <w:vertAlign w:val="superscript"/>
          <w:lang w:val="it-IT"/>
        </w:rPr>
        <w:t>177</w:t>
      </w:r>
      <w:r w:rsidR="00E17119" w:rsidRPr="003C1B5B">
        <w:rPr>
          <w:lang w:val="it-IT"/>
        </w:rPr>
        <w:t xml:space="preserve">Lu-PSMA-617 </w:t>
      </w:r>
      <w:r w:rsidR="004A585D" w:rsidRPr="003C1B5B">
        <w:rPr>
          <w:lang w:val="it-IT"/>
        </w:rPr>
        <w:t xml:space="preserve">rispetto a </w:t>
      </w:r>
      <w:r w:rsidR="00E17119" w:rsidRPr="003C1B5B">
        <w:rPr>
          <w:lang w:val="it-IT"/>
        </w:rPr>
        <w:t>50</w:t>
      </w:r>
      <w:r w:rsidR="004A585D" w:rsidRPr="003C1B5B">
        <w:rPr>
          <w:lang w:val="it-IT"/>
        </w:rPr>
        <w:t>,</w:t>
      </w:r>
      <w:r w:rsidR="00E17119" w:rsidRPr="003C1B5B">
        <w:rPr>
          <w:lang w:val="it-IT"/>
        </w:rPr>
        <w:t xml:space="preserve">0% in </w:t>
      </w:r>
      <w:r w:rsidR="004A585D" w:rsidRPr="003C1B5B">
        <w:rPr>
          <w:lang w:val="it-IT"/>
        </w:rPr>
        <w:t>quello con il solo miglior standard di cura</w:t>
      </w:r>
      <w:r w:rsidR="00E17119" w:rsidRPr="003C1B5B">
        <w:rPr>
          <w:lang w:val="it-IT"/>
        </w:rPr>
        <w:t xml:space="preserve"> (p-value</w:t>
      </w:r>
      <w:r w:rsidR="004A585D" w:rsidRPr="003C1B5B">
        <w:rPr>
          <w:lang w:val="it-IT"/>
        </w:rPr>
        <w:t xml:space="preserve"> bilaterale</w:t>
      </w:r>
      <w:r w:rsidR="00E17119" w:rsidRPr="003C1B5B">
        <w:rPr>
          <w:lang w:val="it-IT"/>
        </w:rPr>
        <w:t>: &lt;0</w:t>
      </w:r>
      <w:r w:rsidR="004A585D" w:rsidRPr="003C1B5B">
        <w:rPr>
          <w:lang w:val="it-IT"/>
        </w:rPr>
        <w:t>,</w:t>
      </w:r>
      <w:r w:rsidR="00E17119" w:rsidRPr="003C1B5B">
        <w:rPr>
          <w:lang w:val="it-IT"/>
        </w:rPr>
        <w:t>001)</w:t>
      </w:r>
      <w:r w:rsidR="00E17119" w:rsidRPr="003C1B5B">
        <w:rPr>
          <w:vertAlign w:val="superscript"/>
          <w:lang w:val="it-IT"/>
        </w:rPr>
        <w:t xml:space="preserve"> 1</w:t>
      </w:r>
      <w:r w:rsidR="00E17119" w:rsidRPr="003C1B5B">
        <w:rPr>
          <w:lang w:val="it-IT"/>
        </w:rPr>
        <w:t xml:space="preserve">. </w:t>
      </w:r>
    </w:p>
    <w:p w14:paraId="2A0F3B19" w14:textId="77777777" w:rsidR="00237568" w:rsidRPr="003C1B5B" w:rsidRDefault="00237568" w:rsidP="00457492">
      <w:pPr>
        <w:pStyle w:val="Bullet2"/>
        <w:numPr>
          <w:ilvl w:val="0"/>
          <w:numId w:val="0"/>
        </w:numPr>
        <w:jc w:val="both"/>
        <w:rPr>
          <w:rFonts w:asciiTheme="minorHAnsi" w:eastAsiaTheme="minorHAnsi" w:hAnsiTheme="minorHAnsi" w:cstheme="minorBidi"/>
          <w:szCs w:val="20"/>
          <w:lang w:val="it-IT"/>
        </w:rPr>
      </w:pPr>
    </w:p>
    <w:p w14:paraId="255B04B3" w14:textId="77777777" w:rsidR="00237568" w:rsidRPr="003C1B5B" w:rsidRDefault="004A585D" w:rsidP="00457492">
      <w:pPr>
        <w:pStyle w:val="Testocommento"/>
        <w:jc w:val="both"/>
        <w:rPr>
          <w:rFonts w:cstheme="minorHAnsi"/>
          <w:lang w:val="it-IT"/>
        </w:rPr>
      </w:pPr>
      <w:r w:rsidRPr="003C1B5B">
        <w:rPr>
          <w:lang w:val="it-IT"/>
        </w:rPr>
        <w:t xml:space="preserve">Gli eventi avversi di grado </w:t>
      </w:r>
      <w:r w:rsidR="00237568" w:rsidRPr="003C1B5B">
        <w:rPr>
          <w:lang w:val="it-IT"/>
        </w:rPr>
        <w:t xml:space="preserve">≥3 </w:t>
      </w:r>
      <w:r w:rsidRPr="003C1B5B">
        <w:rPr>
          <w:lang w:val="it-IT"/>
        </w:rPr>
        <w:t>legati a</w:t>
      </w:r>
      <w:r w:rsidR="005725C9" w:rsidRPr="003C1B5B">
        <w:rPr>
          <w:lang w:val="it-IT"/>
        </w:rPr>
        <w:t xml:space="preserve">lla terapia si sono verificati nel </w:t>
      </w:r>
      <w:r w:rsidR="00237568" w:rsidRPr="003C1B5B">
        <w:rPr>
          <w:lang w:val="it-IT"/>
        </w:rPr>
        <w:t>28</w:t>
      </w:r>
      <w:r w:rsidR="005725C9" w:rsidRPr="003C1B5B">
        <w:rPr>
          <w:lang w:val="it-IT"/>
        </w:rPr>
        <w:t>,</w:t>
      </w:r>
      <w:r w:rsidR="00237568" w:rsidRPr="003C1B5B">
        <w:rPr>
          <w:lang w:val="it-IT"/>
        </w:rPr>
        <w:t xml:space="preserve">4% </w:t>
      </w:r>
      <w:r w:rsidR="005725C9" w:rsidRPr="003C1B5B">
        <w:rPr>
          <w:lang w:val="it-IT"/>
        </w:rPr>
        <w:t xml:space="preserve">del braccio con </w:t>
      </w:r>
      <w:r w:rsidR="00237568" w:rsidRPr="003C1B5B">
        <w:rPr>
          <w:vertAlign w:val="superscript"/>
          <w:lang w:val="it-IT"/>
        </w:rPr>
        <w:t>177</w:t>
      </w:r>
      <w:r w:rsidR="00237568" w:rsidRPr="003C1B5B">
        <w:rPr>
          <w:lang w:val="it-IT"/>
        </w:rPr>
        <w:t xml:space="preserve">Lu-PSMA-617 </w:t>
      </w:r>
      <w:r w:rsidR="0075609C" w:rsidRPr="003C1B5B">
        <w:rPr>
          <w:lang w:val="it-IT"/>
        </w:rPr>
        <w:t>rispetto al</w:t>
      </w:r>
      <w:r w:rsidR="005725C9" w:rsidRPr="003C1B5B">
        <w:rPr>
          <w:lang w:val="it-IT"/>
        </w:rPr>
        <w:t xml:space="preserve"> </w:t>
      </w:r>
      <w:r w:rsidR="00237568" w:rsidRPr="003C1B5B">
        <w:rPr>
          <w:lang w:val="it-IT"/>
        </w:rPr>
        <w:t>3</w:t>
      </w:r>
      <w:r w:rsidR="005725C9" w:rsidRPr="003C1B5B">
        <w:rPr>
          <w:lang w:val="it-IT"/>
        </w:rPr>
        <w:t>,</w:t>
      </w:r>
      <w:r w:rsidR="00237568" w:rsidRPr="003C1B5B">
        <w:rPr>
          <w:lang w:val="it-IT"/>
        </w:rPr>
        <w:t xml:space="preserve">9% </w:t>
      </w:r>
      <w:r w:rsidR="005725C9" w:rsidRPr="003C1B5B">
        <w:rPr>
          <w:lang w:val="it-IT"/>
        </w:rPr>
        <w:t>nel braccio con il solo miglior standard di cura</w:t>
      </w:r>
      <w:r w:rsidR="00237568" w:rsidRPr="003C1B5B">
        <w:rPr>
          <w:vertAlign w:val="superscript"/>
          <w:lang w:val="it-IT"/>
        </w:rPr>
        <w:t>1</w:t>
      </w:r>
      <w:r w:rsidR="00237568" w:rsidRPr="003C1B5B">
        <w:rPr>
          <w:lang w:val="it-IT"/>
        </w:rPr>
        <w:t xml:space="preserve">. </w:t>
      </w:r>
      <w:r w:rsidR="00A24EC3" w:rsidRPr="003C1B5B">
        <w:rPr>
          <w:lang w:val="it-IT"/>
        </w:rPr>
        <w:t>Gli eventi più comun</w:t>
      </w:r>
      <w:r w:rsidR="00CC6F1E" w:rsidRPr="003C1B5B">
        <w:rPr>
          <w:lang w:val="it-IT"/>
        </w:rPr>
        <w:t>i</w:t>
      </w:r>
      <w:r w:rsidR="00A24EC3" w:rsidRPr="003C1B5B">
        <w:rPr>
          <w:lang w:val="it-IT"/>
        </w:rPr>
        <w:t xml:space="preserve"> </w:t>
      </w:r>
      <w:r w:rsidR="00237568" w:rsidRPr="003C1B5B">
        <w:rPr>
          <w:lang w:val="it-IT"/>
        </w:rPr>
        <w:t>(</w:t>
      </w:r>
      <w:r w:rsidR="00A24EC3" w:rsidRPr="003C1B5B">
        <w:rPr>
          <w:lang w:val="it-IT"/>
        </w:rPr>
        <w:t xml:space="preserve">superiori al </w:t>
      </w:r>
      <w:r w:rsidR="00237568" w:rsidRPr="003C1B5B">
        <w:rPr>
          <w:lang w:val="it-IT"/>
        </w:rPr>
        <w:t xml:space="preserve">2% </w:t>
      </w:r>
      <w:r w:rsidR="00A24EC3" w:rsidRPr="003C1B5B">
        <w:rPr>
          <w:lang w:val="it-IT"/>
        </w:rPr>
        <w:t>rispettivamente</w:t>
      </w:r>
      <w:r w:rsidR="00237568" w:rsidRPr="003C1B5B">
        <w:rPr>
          <w:lang w:val="it-IT"/>
        </w:rPr>
        <w:t xml:space="preserve"> </w:t>
      </w:r>
      <w:r w:rsidR="00A24EC3" w:rsidRPr="003C1B5B">
        <w:rPr>
          <w:lang w:val="it-IT"/>
        </w:rPr>
        <w:t xml:space="preserve">per </w:t>
      </w:r>
      <w:r w:rsidR="00237568" w:rsidRPr="003C1B5B">
        <w:rPr>
          <w:vertAlign w:val="superscript"/>
          <w:lang w:val="it-IT"/>
        </w:rPr>
        <w:t>177</w:t>
      </w:r>
      <w:r w:rsidR="00237568" w:rsidRPr="003C1B5B">
        <w:rPr>
          <w:lang w:val="it-IT"/>
        </w:rPr>
        <w:t xml:space="preserve">Lu-PSMA-617 </w:t>
      </w:r>
      <w:r w:rsidR="00A24EC3" w:rsidRPr="003C1B5B">
        <w:rPr>
          <w:lang w:val="it-IT"/>
        </w:rPr>
        <w:t>e miglior standard di cura</w:t>
      </w:r>
      <w:r w:rsidR="00237568" w:rsidRPr="003C1B5B">
        <w:rPr>
          <w:lang w:val="it-IT"/>
        </w:rPr>
        <w:t xml:space="preserve">) </w:t>
      </w:r>
      <w:r w:rsidR="00A24EC3" w:rsidRPr="003C1B5B">
        <w:rPr>
          <w:lang w:val="it-IT"/>
        </w:rPr>
        <w:t xml:space="preserve">erano </w:t>
      </w:r>
      <w:r w:rsidR="00237568" w:rsidRPr="003C1B5B">
        <w:rPr>
          <w:lang w:val="it-IT"/>
        </w:rPr>
        <w:t>anemia (12</w:t>
      </w:r>
      <w:r w:rsidR="00A24EC3" w:rsidRPr="003C1B5B">
        <w:rPr>
          <w:lang w:val="it-IT"/>
        </w:rPr>
        <w:t>,</w:t>
      </w:r>
      <w:r w:rsidR="00237568" w:rsidRPr="003C1B5B">
        <w:rPr>
          <w:lang w:val="it-IT"/>
        </w:rPr>
        <w:t>9% vs. 4</w:t>
      </w:r>
      <w:r w:rsidR="00A24EC3" w:rsidRPr="003C1B5B">
        <w:rPr>
          <w:lang w:val="it-IT"/>
        </w:rPr>
        <w:t>,</w:t>
      </w:r>
      <w:r w:rsidR="00237568" w:rsidRPr="003C1B5B">
        <w:rPr>
          <w:lang w:val="it-IT"/>
        </w:rPr>
        <w:t>9%), tromboc</w:t>
      </w:r>
      <w:r w:rsidR="00A24EC3" w:rsidRPr="003C1B5B">
        <w:rPr>
          <w:lang w:val="it-IT"/>
        </w:rPr>
        <w:t>i</w:t>
      </w:r>
      <w:r w:rsidR="00237568" w:rsidRPr="003C1B5B">
        <w:rPr>
          <w:lang w:val="it-IT"/>
        </w:rPr>
        <w:t>topenia (7</w:t>
      </w:r>
      <w:r w:rsidR="00A24EC3" w:rsidRPr="003C1B5B">
        <w:rPr>
          <w:lang w:val="it-IT"/>
        </w:rPr>
        <w:t>,</w:t>
      </w:r>
      <w:r w:rsidR="00237568" w:rsidRPr="003C1B5B">
        <w:rPr>
          <w:lang w:val="it-IT"/>
        </w:rPr>
        <w:t>9% vs. 1%), l</w:t>
      </w:r>
      <w:r w:rsidR="00A24EC3" w:rsidRPr="003C1B5B">
        <w:rPr>
          <w:lang w:val="it-IT"/>
        </w:rPr>
        <w:t>i</w:t>
      </w:r>
      <w:r w:rsidR="00CC6F1E" w:rsidRPr="003C1B5B">
        <w:rPr>
          <w:lang w:val="it-IT"/>
        </w:rPr>
        <w:t>n</w:t>
      </w:r>
      <w:r w:rsidR="00A24EC3" w:rsidRPr="003C1B5B">
        <w:rPr>
          <w:lang w:val="it-IT"/>
        </w:rPr>
        <w:t>f</w:t>
      </w:r>
      <w:r w:rsidR="00237568" w:rsidRPr="003C1B5B">
        <w:rPr>
          <w:lang w:val="it-IT"/>
        </w:rPr>
        <w:t>openia (7</w:t>
      </w:r>
      <w:r w:rsidR="00A24EC3" w:rsidRPr="003C1B5B">
        <w:rPr>
          <w:lang w:val="it-IT"/>
        </w:rPr>
        <w:t>,</w:t>
      </w:r>
      <w:r w:rsidR="00237568" w:rsidRPr="003C1B5B">
        <w:rPr>
          <w:lang w:val="it-IT"/>
        </w:rPr>
        <w:t>8% vs. 0</w:t>
      </w:r>
      <w:r w:rsidR="00A24EC3" w:rsidRPr="003C1B5B">
        <w:rPr>
          <w:lang w:val="it-IT"/>
        </w:rPr>
        <w:t>,</w:t>
      </w:r>
      <w:r w:rsidR="00237568" w:rsidRPr="003C1B5B">
        <w:rPr>
          <w:lang w:val="it-IT"/>
        </w:rPr>
        <w:t>5%), fatigue (7</w:t>
      </w:r>
      <w:r w:rsidR="00A24EC3" w:rsidRPr="003C1B5B">
        <w:rPr>
          <w:lang w:val="it-IT"/>
        </w:rPr>
        <w:t>,</w:t>
      </w:r>
      <w:r w:rsidR="00237568" w:rsidRPr="003C1B5B">
        <w:rPr>
          <w:lang w:val="it-IT"/>
        </w:rPr>
        <w:t>0% vs 2</w:t>
      </w:r>
      <w:r w:rsidR="00A24EC3" w:rsidRPr="003C1B5B">
        <w:rPr>
          <w:lang w:val="it-IT"/>
        </w:rPr>
        <w:t>,</w:t>
      </w:r>
      <w:r w:rsidR="00237568" w:rsidRPr="003C1B5B">
        <w:rPr>
          <w:lang w:val="it-IT"/>
        </w:rPr>
        <w:t xml:space="preserve">4%), </w:t>
      </w:r>
      <w:r w:rsidR="00A24EC3" w:rsidRPr="003C1B5B">
        <w:rPr>
          <w:lang w:val="it-IT"/>
        </w:rPr>
        <w:t>infezione delle vie urinarie</w:t>
      </w:r>
      <w:r w:rsidR="00237568" w:rsidRPr="003C1B5B">
        <w:rPr>
          <w:lang w:val="it-IT"/>
        </w:rPr>
        <w:t xml:space="preserve"> (3</w:t>
      </w:r>
      <w:r w:rsidR="00A24EC3" w:rsidRPr="003C1B5B">
        <w:rPr>
          <w:lang w:val="it-IT"/>
        </w:rPr>
        <w:t>,</w:t>
      </w:r>
      <w:r w:rsidR="00237568" w:rsidRPr="003C1B5B">
        <w:rPr>
          <w:lang w:val="it-IT"/>
        </w:rPr>
        <w:t>8% vs 0</w:t>
      </w:r>
      <w:r w:rsidR="00A24EC3" w:rsidRPr="003C1B5B">
        <w:rPr>
          <w:lang w:val="it-IT"/>
        </w:rPr>
        <w:t>,</w:t>
      </w:r>
      <w:r w:rsidR="00237568" w:rsidRPr="003C1B5B">
        <w:rPr>
          <w:lang w:val="it-IT"/>
        </w:rPr>
        <w:t>5%) neutropenia (3</w:t>
      </w:r>
      <w:r w:rsidR="00A24EC3" w:rsidRPr="003C1B5B">
        <w:rPr>
          <w:lang w:val="it-IT"/>
        </w:rPr>
        <w:t>,</w:t>
      </w:r>
      <w:r w:rsidR="00237568" w:rsidRPr="003C1B5B">
        <w:rPr>
          <w:lang w:val="it-IT"/>
        </w:rPr>
        <w:t>4% vs 0</w:t>
      </w:r>
      <w:r w:rsidR="00A24EC3" w:rsidRPr="003C1B5B">
        <w:rPr>
          <w:lang w:val="it-IT"/>
        </w:rPr>
        <w:t>,</w:t>
      </w:r>
      <w:r w:rsidR="00237568" w:rsidRPr="003C1B5B">
        <w:rPr>
          <w:lang w:val="it-IT"/>
        </w:rPr>
        <w:t>5%)</w:t>
      </w:r>
      <w:r w:rsidR="00CC6F1E" w:rsidRPr="003C1B5B">
        <w:rPr>
          <w:lang w:val="it-IT"/>
        </w:rPr>
        <w:t>,</w:t>
      </w:r>
      <w:r w:rsidR="00237568" w:rsidRPr="003C1B5B">
        <w:rPr>
          <w:lang w:val="it-IT"/>
        </w:rPr>
        <w:t xml:space="preserve"> </w:t>
      </w:r>
      <w:r w:rsidR="00A24EC3" w:rsidRPr="003C1B5B">
        <w:rPr>
          <w:lang w:val="it-IT"/>
        </w:rPr>
        <w:t>i</w:t>
      </w:r>
      <w:r w:rsidR="00237568" w:rsidRPr="003C1B5B">
        <w:rPr>
          <w:lang w:val="it-IT"/>
        </w:rPr>
        <w:t>pertension</w:t>
      </w:r>
      <w:r w:rsidR="00A24EC3" w:rsidRPr="003C1B5B">
        <w:rPr>
          <w:lang w:val="it-IT"/>
        </w:rPr>
        <w:t>e</w:t>
      </w:r>
      <w:r w:rsidR="00237568" w:rsidRPr="003C1B5B">
        <w:rPr>
          <w:lang w:val="it-IT"/>
        </w:rPr>
        <w:t xml:space="preserve"> (3</w:t>
      </w:r>
      <w:r w:rsidR="00A24EC3" w:rsidRPr="003C1B5B">
        <w:rPr>
          <w:lang w:val="it-IT"/>
        </w:rPr>
        <w:t>,</w:t>
      </w:r>
      <w:r w:rsidR="00237568" w:rsidRPr="003C1B5B">
        <w:rPr>
          <w:lang w:val="it-IT"/>
        </w:rPr>
        <w:t>2% vs 1</w:t>
      </w:r>
      <w:r w:rsidR="00A24EC3" w:rsidRPr="003C1B5B">
        <w:rPr>
          <w:lang w:val="it-IT"/>
        </w:rPr>
        <w:t>,</w:t>
      </w:r>
      <w:r w:rsidR="00237568" w:rsidRPr="003C1B5B">
        <w:rPr>
          <w:lang w:val="it-IT"/>
        </w:rPr>
        <w:t xml:space="preserve">5%), </w:t>
      </w:r>
      <w:r w:rsidR="00A24EC3" w:rsidRPr="003C1B5B">
        <w:rPr>
          <w:lang w:val="it-IT"/>
        </w:rPr>
        <w:t>danno renale acuto</w:t>
      </w:r>
      <w:r w:rsidR="00237568" w:rsidRPr="003C1B5B">
        <w:rPr>
          <w:lang w:val="it-IT"/>
        </w:rPr>
        <w:t xml:space="preserve"> (3</w:t>
      </w:r>
      <w:r w:rsidR="00A24EC3" w:rsidRPr="003C1B5B">
        <w:rPr>
          <w:lang w:val="it-IT"/>
        </w:rPr>
        <w:t>,</w:t>
      </w:r>
      <w:r w:rsidR="00237568" w:rsidRPr="003C1B5B">
        <w:rPr>
          <w:lang w:val="it-IT"/>
        </w:rPr>
        <w:t>0% vs 2</w:t>
      </w:r>
      <w:r w:rsidR="00A24EC3" w:rsidRPr="003C1B5B">
        <w:rPr>
          <w:lang w:val="it-IT"/>
        </w:rPr>
        <w:t>,</w:t>
      </w:r>
      <w:r w:rsidR="00237568" w:rsidRPr="003C1B5B">
        <w:rPr>
          <w:lang w:val="it-IT"/>
        </w:rPr>
        <w:t>4%), leu</w:t>
      </w:r>
      <w:r w:rsidR="00A24EC3" w:rsidRPr="003C1B5B">
        <w:rPr>
          <w:lang w:val="it-IT"/>
        </w:rPr>
        <w:t>c</w:t>
      </w:r>
      <w:r w:rsidR="00237568" w:rsidRPr="003C1B5B">
        <w:rPr>
          <w:lang w:val="it-IT"/>
        </w:rPr>
        <w:t>openia (2</w:t>
      </w:r>
      <w:r w:rsidR="00A24EC3" w:rsidRPr="003C1B5B">
        <w:rPr>
          <w:lang w:val="it-IT"/>
        </w:rPr>
        <w:t>,</w:t>
      </w:r>
      <w:r w:rsidR="00237568" w:rsidRPr="003C1B5B">
        <w:rPr>
          <w:lang w:val="it-IT"/>
        </w:rPr>
        <w:t>5% vs. 0</w:t>
      </w:r>
      <w:r w:rsidR="00A24EC3" w:rsidRPr="003C1B5B">
        <w:rPr>
          <w:lang w:val="it-IT"/>
        </w:rPr>
        <w:t>,</w:t>
      </w:r>
      <w:r w:rsidR="00237568" w:rsidRPr="003C1B5B">
        <w:rPr>
          <w:lang w:val="it-IT"/>
        </w:rPr>
        <w:t xml:space="preserve">5%), </w:t>
      </w:r>
      <w:r w:rsidR="00A24EC3" w:rsidRPr="003C1B5B">
        <w:rPr>
          <w:lang w:val="it-IT"/>
        </w:rPr>
        <w:t>dolore osseo</w:t>
      </w:r>
      <w:r w:rsidR="00237568" w:rsidRPr="003C1B5B">
        <w:rPr>
          <w:lang w:val="it-IT"/>
        </w:rPr>
        <w:t xml:space="preserve"> (2</w:t>
      </w:r>
      <w:r w:rsidR="00A24EC3" w:rsidRPr="003C1B5B">
        <w:rPr>
          <w:lang w:val="it-IT"/>
        </w:rPr>
        <w:t>,</w:t>
      </w:r>
      <w:r w:rsidR="00237568" w:rsidRPr="003C1B5B">
        <w:rPr>
          <w:lang w:val="it-IT"/>
        </w:rPr>
        <w:t>5% vs. 2</w:t>
      </w:r>
      <w:r w:rsidR="00A24EC3" w:rsidRPr="003C1B5B">
        <w:rPr>
          <w:lang w:val="it-IT"/>
        </w:rPr>
        <w:t>,</w:t>
      </w:r>
      <w:r w:rsidR="00237568" w:rsidRPr="003C1B5B">
        <w:rPr>
          <w:lang w:val="it-IT"/>
        </w:rPr>
        <w:t xml:space="preserve">4%), </w:t>
      </w:r>
      <w:r w:rsidR="00A24EC3" w:rsidRPr="003C1B5B">
        <w:rPr>
          <w:lang w:val="it-IT"/>
        </w:rPr>
        <w:t xml:space="preserve">e </w:t>
      </w:r>
      <w:r w:rsidR="00237568" w:rsidRPr="003C1B5B">
        <w:rPr>
          <w:lang w:val="it-IT"/>
        </w:rPr>
        <w:t>ematuria (2</w:t>
      </w:r>
      <w:r w:rsidR="00A24EC3" w:rsidRPr="003C1B5B">
        <w:rPr>
          <w:lang w:val="it-IT"/>
        </w:rPr>
        <w:t>,</w:t>
      </w:r>
      <w:r w:rsidR="00237568" w:rsidRPr="003C1B5B">
        <w:rPr>
          <w:lang w:val="it-IT"/>
        </w:rPr>
        <w:t>5% vs 0</w:t>
      </w:r>
      <w:r w:rsidR="00A24EC3" w:rsidRPr="003C1B5B">
        <w:rPr>
          <w:lang w:val="it-IT"/>
        </w:rPr>
        <w:t>,</w:t>
      </w:r>
      <w:r w:rsidR="00237568" w:rsidRPr="003C1B5B">
        <w:rPr>
          <w:lang w:val="it-IT"/>
        </w:rPr>
        <w:t>5%)</w:t>
      </w:r>
      <w:r w:rsidR="00237568" w:rsidRPr="003C1B5B">
        <w:rPr>
          <w:vertAlign w:val="superscript"/>
          <w:lang w:val="it-IT"/>
        </w:rPr>
        <w:t>1</w:t>
      </w:r>
      <w:r w:rsidR="00237568" w:rsidRPr="003C1B5B">
        <w:rPr>
          <w:rFonts w:cstheme="minorHAnsi"/>
          <w:lang w:val="it-IT"/>
        </w:rPr>
        <w:t xml:space="preserve">. </w:t>
      </w:r>
    </w:p>
    <w:p w14:paraId="2FD01FF8" w14:textId="77777777" w:rsidR="00237568" w:rsidRPr="003C1B5B" w:rsidRDefault="00237568" w:rsidP="00457492">
      <w:pPr>
        <w:pStyle w:val="Testocommento"/>
        <w:jc w:val="both"/>
        <w:rPr>
          <w:rFonts w:cstheme="minorHAnsi"/>
          <w:lang w:val="it-IT"/>
        </w:rPr>
      </w:pPr>
    </w:p>
    <w:p w14:paraId="5E6737DF" w14:textId="7D43228D" w:rsidR="00237568" w:rsidRPr="003C1B5B" w:rsidRDefault="00A24EC3" w:rsidP="00457492">
      <w:pPr>
        <w:autoSpaceDE w:val="0"/>
        <w:autoSpaceDN w:val="0"/>
        <w:adjustRightInd w:val="0"/>
        <w:spacing w:line="240" w:lineRule="auto"/>
        <w:jc w:val="both"/>
        <w:rPr>
          <w:rFonts w:cstheme="minorHAnsi"/>
          <w:color w:val="000000"/>
          <w:lang w:val="it-IT"/>
        </w:rPr>
      </w:pPr>
      <w:r w:rsidRPr="003C1B5B">
        <w:rPr>
          <w:rFonts w:cstheme="minorHAnsi"/>
          <w:color w:val="000000"/>
          <w:lang w:val="it-IT"/>
        </w:rPr>
        <w:t xml:space="preserve">Eventi avversi gravi legati alla terapia sono stati osservati nel </w:t>
      </w:r>
      <w:r w:rsidR="00237568" w:rsidRPr="003C1B5B">
        <w:rPr>
          <w:rFonts w:cstheme="minorHAnsi"/>
          <w:color w:val="000000"/>
          <w:lang w:val="it-IT"/>
        </w:rPr>
        <w:t>9</w:t>
      </w:r>
      <w:r w:rsidRPr="003C1B5B">
        <w:rPr>
          <w:rFonts w:cstheme="minorHAnsi"/>
          <w:color w:val="000000"/>
          <w:lang w:val="it-IT"/>
        </w:rPr>
        <w:t>,</w:t>
      </w:r>
      <w:r w:rsidR="00237568" w:rsidRPr="003C1B5B">
        <w:rPr>
          <w:rFonts w:cstheme="minorHAnsi"/>
          <w:color w:val="000000"/>
          <w:lang w:val="it-IT"/>
        </w:rPr>
        <w:t xml:space="preserve">3% </w:t>
      </w:r>
      <w:r w:rsidRPr="003C1B5B">
        <w:rPr>
          <w:rFonts w:cstheme="minorHAnsi"/>
          <w:color w:val="000000"/>
          <w:lang w:val="it-IT"/>
        </w:rPr>
        <w:t xml:space="preserve">dei pazienti nel braccio con </w:t>
      </w:r>
      <w:r w:rsidR="00237568" w:rsidRPr="003C1B5B">
        <w:rPr>
          <w:rFonts w:cstheme="minorHAnsi"/>
          <w:color w:val="000000"/>
          <w:vertAlign w:val="superscript"/>
          <w:lang w:val="it-IT"/>
        </w:rPr>
        <w:t>177</w:t>
      </w:r>
      <w:r w:rsidR="00237568" w:rsidRPr="003C1B5B">
        <w:rPr>
          <w:rFonts w:cstheme="minorHAnsi"/>
          <w:color w:val="000000"/>
          <w:lang w:val="it-IT"/>
        </w:rPr>
        <w:t xml:space="preserve">Lu-PSMA-617 </w:t>
      </w:r>
      <w:r w:rsidRPr="003C1B5B">
        <w:rPr>
          <w:rFonts w:cstheme="minorHAnsi"/>
          <w:color w:val="000000"/>
          <w:lang w:val="it-IT"/>
        </w:rPr>
        <w:t xml:space="preserve">rispetto al </w:t>
      </w:r>
      <w:r w:rsidR="00237568" w:rsidRPr="003C1B5B">
        <w:rPr>
          <w:rFonts w:cstheme="minorHAnsi"/>
          <w:color w:val="000000"/>
          <w:lang w:val="it-IT"/>
        </w:rPr>
        <w:t>2</w:t>
      </w:r>
      <w:r w:rsidRPr="003C1B5B">
        <w:rPr>
          <w:rFonts w:cstheme="minorHAnsi"/>
          <w:color w:val="000000"/>
          <w:lang w:val="it-IT"/>
        </w:rPr>
        <w:t>,</w:t>
      </w:r>
      <w:r w:rsidR="00237568" w:rsidRPr="003C1B5B">
        <w:rPr>
          <w:rFonts w:cstheme="minorHAnsi"/>
          <w:color w:val="000000"/>
          <w:lang w:val="it-IT"/>
        </w:rPr>
        <w:t xml:space="preserve">4% in </w:t>
      </w:r>
      <w:r w:rsidRPr="003C1B5B">
        <w:rPr>
          <w:rFonts w:cstheme="minorHAnsi"/>
          <w:color w:val="000000"/>
          <w:lang w:val="it-IT"/>
        </w:rPr>
        <w:t>quello con il solo miglior standard di cura</w:t>
      </w:r>
      <w:r w:rsidR="00237568" w:rsidRPr="003C1B5B">
        <w:rPr>
          <w:vertAlign w:val="superscript"/>
          <w:lang w:val="it-IT"/>
        </w:rPr>
        <w:t>1</w:t>
      </w:r>
      <w:r w:rsidR="00237568" w:rsidRPr="003C1B5B">
        <w:rPr>
          <w:rFonts w:cstheme="minorHAnsi"/>
          <w:color w:val="000000"/>
          <w:lang w:val="it-IT"/>
        </w:rPr>
        <w:t>.</w:t>
      </w:r>
    </w:p>
    <w:p w14:paraId="139179C8" w14:textId="4EF99930" w:rsidR="00F70DA4" w:rsidRPr="003C1B5B" w:rsidRDefault="00F70DA4" w:rsidP="00457492">
      <w:pPr>
        <w:autoSpaceDE w:val="0"/>
        <w:autoSpaceDN w:val="0"/>
        <w:adjustRightInd w:val="0"/>
        <w:spacing w:line="240" w:lineRule="auto"/>
        <w:jc w:val="both"/>
        <w:rPr>
          <w:rFonts w:cstheme="minorHAnsi"/>
          <w:color w:val="000000"/>
          <w:lang w:val="it-IT"/>
        </w:rPr>
      </w:pPr>
    </w:p>
    <w:p w14:paraId="5876B4BB" w14:textId="7E62FAF6" w:rsidR="00F70DA4" w:rsidRPr="00F70DA4" w:rsidRDefault="00F70DA4" w:rsidP="00FB5A6B">
      <w:pPr>
        <w:jc w:val="both"/>
        <w:rPr>
          <w:rFonts w:cstheme="minorHAnsi"/>
          <w:color w:val="000000"/>
          <w:lang w:val="it-IT"/>
        </w:rPr>
      </w:pPr>
      <w:r w:rsidRPr="003C1B5B">
        <w:rPr>
          <w:rFonts w:ascii="Arial" w:hAnsi="Arial" w:cs="Arial"/>
          <w:lang w:val="it-IT"/>
        </w:rPr>
        <w:t>Al seguente link </w:t>
      </w:r>
      <w:hyperlink r:id="rId11" w:history="1">
        <w:r w:rsidRPr="003C1B5B">
          <w:rPr>
            <w:rStyle w:val="Collegamentoipertestuale"/>
            <w:rFonts w:ascii="Arial" w:hAnsi="Arial" w:cs="Arial"/>
            <w:u w:val="single"/>
            <w:lang w:val="it-IT"/>
          </w:rPr>
          <w:t>https://www.hcp.novartis.com/virtual-congress/a-2021/</w:t>
        </w:r>
      </w:hyperlink>
      <w:r w:rsidRPr="003C1B5B">
        <w:rPr>
          <w:rFonts w:ascii="Arial" w:hAnsi="Arial" w:cs="Arial"/>
          <w:lang w:val="it-IT"/>
        </w:rPr>
        <w:t xml:space="preserve">  </w:t>
      </w:r>
      <w:r w:rsidR="005F19D4">
        <w:rPr>
          <w:rFonts w:ascii="Arial" w:hAnsi="Arial" w:cs="Arial"/>
          <w:lang w:val="it-IT"/>
        </w:rPr>
        <w:t>saranno disponibili</w:t>
      </w:r>
      <w:r w:rsidRPr="003C1B5B">
        <w:rPr>
          <w:rFonts w:ascii="Arial" w:hAnsi="Arial" w:cs="Arial"/>
          <w:lang w:val="it-IT"/>
        </w:rPr>
        <w:t xml:space="preserve"> le ultime informazioni in merito a Novartis, incluso il nostro impegno in Oncologia e l’accesso alle presentazioni del programma scientifico virtuale ASCO21 (solo per i partecipanti</w:t>
      </w:r>
      <w:r w:rsidR="00FB5A6B">
        <w:rPr>
          <w:rFonts w:ascii="Arial" w:hAnsi="Arial" w:cs="Arial"/>
          <w:lang w:val="it-IT"/>
        </w:rPr>
        <w:t xml:space="preserve"> </w:t>
      </w:r>
      <w:r w:rsidRPr="003C1B5B">
        <w:rPr>
          <w:rFonts w:ascii="Arial" w:hAnsi="Arial" w:cs="Arial"/>
          <w:lang w:val="it-IT"/>
        </w:rPr>
        <w:t>registrati).</w:t>
      </w:r>
    </w:p>
    <w:p w14:paraId="38D74A7E" w14:textId="77777777" w:rsidR="00C52EEF" w:rsidRPr="00F70DA4" w:rsidRDefault="00C52EEF" w:rsidP="00FB5A6B">
      <w:pPr>
        <w:jc w:val="both"/>
        <w:rPr>
          <w:rFonts w:ascii="Arial" w:hAnsi="Arial" w:cs="Arial"/>
          <w:lang w:val="it-IT"/>
        </w:rPr>
      </w:pPr>
    </w:p>
    <w:p w14:paraId="36518D81" w14:textId="77777777" w:rsidR="00EE2184" w:rsidRPr="00CF0531" w:rsidRDefault="00A24EC3" w:rsidP="00457492">
      <w:pPr>
        <w:jc w:val="both"/>
        <w:rPr>
          <w:b/>
          <w:bCs/>
          <w:iCs/>
          <w:lang w:val="it-IT"/>
        </w:rPr>
      </w:pPr>
      <w:r w:rsidRPr="00CF0531">
        <w:rPr>
          <w:b/>
          <w:bCs/>
          <w:iCs/>
          <w:lang w:val="it-IT"/>
        </w:rPr>
        <w:t>Il carcinoma della prostat</w:t>
      </w:r>
      <w:r w:rsidR="00530502" w:rsidRPr="00CF0531">
        <w:rPr>
          <w:b/>
          <w:bCs/>
          <w:iCs/>
          <w:lang w:val="it-IT"/>
        </w:rPr>
        <w:t>a</w:t>
      </w:r>
      <w:r w:rsidRPr="00CF0531">
        <w:rPr>
          <w:b/>
          <w:bCs/>
          <w:iCs/>
          <w:lang w:val="it-IT"/>
        </w:rPr>
        <w:t xml:space="preserve"> avanzato</w:t>
      </w:r>
    </w:p>
    <w:p w14:paraId="71AE5D82" w14:textId="621F2213" w:rsidR="00EE2184" w:rsidRPr="00CF0531" w:rsidRDefault="00530502" w:rsidP="00457492">
      <w:pPr>
        <w:autoSpaceDE w:val="0"/>
        <w:autoSpaceDN w:val="0"/>
        <w:adjustRightInd w:val="0"/>
        <w:spacing w:line="240" w:lineRule="auto"/>
        <w:jc w:val="both"/>
        <w:rPr>
          <w:iCs/>
          <w:vertAlign w:val="superscript"/>
          <w:lang w:val="it-IT"/>
        </w:rPr>
      </w:pPr>
      <w:r w:rsidRPr="00CF0531">
        <w:rPr>
          <w:iCs/>
          <w:lang w:val="it-IT"/>
        </w:rPr>
        <w:t xml:space="preserve">Il carcinoma </w:t>
      </w:r>
      <w:r w:rsidR="007915BA">
        <w:rPr>
          <w:iCs/>
          <w:lang w:val="it-IT"/>
        </w:rPr>
        <w:t xml:space="preserve">della prostata </w:t>
      </w:r>
      <w:r w:rsidRPr="00CF0531">
        <w:rPr>
          <w:iCs/>
          <w:lang w:val="it-IT"/>
        </w:rPr>
        <w:t>è una for</w:t>
      </w:r>
      <w:r w:rsidR="00CC6F1E" w:rsidRPr="00CF0531">
        <w:rPr>
          <w:iCs/>
          <w:lang w:val="it-IT"/>
        </w:rPr>
        <w:t>m</w:t>
      </w:r>
      <w:r w:rsidRPr="00CF0531">
        <w:rPr>
          <w:iCs/>
          <w:lang w:val="it-IT"/>
        </w:rPr>
        <w:t>a di cancro che si sviluppa nella ghiandola prostatica</w:t>
      </w:r>
      <w:r w:rsidR="00EE2184" w:rsidRPr="00CF0531">
        <w:rPr>
          <w:iCs/>
          <w:lang w:val="it-IT"/>
        </w:rPr>
        <w:t xml:space="preserve">, </w:t>
      </w:r>
      <w:r w:rsidRPr="00CF0531">
        <w:rPr>
          <w:iCs/>
          <w:lang w:val="it-IT"/>
        </w:rPr>
        <w:t>una piccol</w:t>
      </w:r>
      <w:r w:rsidR="00CC6F1E" w:rsidRPr="00CF0531">
        <w:rPr>
          <w:iCs/>
          <w:lang w:val="it-IT"/>
        </w:rPr>
        <w:t>a</w:t>
      </w:r>
      <w:r w:rsidRPr="00CF0531">
        <w:rPr>
          <w:iCs/>
          <w:lang w:val="it-IT"/>
        </w:rPr>
        <w:t xml:space="preserve"> ghiandola a </w:t>
      </w:r>
      <w:r w:rsidR="0075609C" w:rsidRPr="00CF0531">
        <w:rPr>
          <w:iCs/>
          <w:lang w:val="it-IT"/>
        </w:rPr>
        <w:t>f</w:t>
      </w:r>
      <w:r w:rsidRPr="00CF0531">
        <w:rPr>
          <w:iCs/>
          <w:lang w:val="it-IT"/>
        </w:rPr>
        <w:t xml:space="preserve">orma di noce nel bacino </w:t>
      </w:r>
      <w:r w:rsidR="00CC6F1E" w:rsidRPr="00CF0531">
        <w:rPr>
          <w:iCs/>
          <w:lang w:val="it-IT"/>
        </w:rPr>
        <w:t>degli uomini</w:t>
      </w:r>
      <w:r w:rsidR="00EE2184" w:rsidRPr="00CF0531">
        <w:rPr>
          <w:iCs/>
          <w:lang w:val="it-IT"/>
        </w:rPr>
        <w:t xml:space="preserve">. </w:t>
      </w:r>
      <w:r w:rsidR="00AF7C4F" w:rsidRPr="00CF0531">
        <w:rPr>
          <w:iCs/>
          <w:lang w:val="it-IT"/>
        </w:rPr>
        <w:t xml:space="preserve">Nel carcinoma della prostata resistente alla castrazione </w:t>
      </w:r>
      <w:r w:rsidR="00EE2184" w:rsidRPr="00CF0531">
        <w:rPr>
          <w:iCs/>
          <w:lang w:val="it-IT"/>
        </w:rPr>
        <w:t xml:space="preserve">(CRPC), </w:t>
      </w:r>
      <w:r w:rsidR="00AF7C4F" w:rsidRPr="00CF0531">
        <w:rPr>
          <w:iCs/>
          <w:lang w:val="it-IT"/>
        </w:rPr>
        <w:t>il tumore mostra segnali di crescita</w:t>
      </w:r>
      <w:r w:rsidR="00EE2184" w:rsidRPr="00CF0531">
        <w:rPr>
          <w:iCs/>
          <w:lang w:val="it-IT"/>
        </w:rPr>
        <w:t xml:space="preserve">, </w:t>
      </w:r>
      <w:r w:rsidR="00AF7C4F" w:rsidRPr="00CF0531">
        <w:rPr>
          <w:iCs/>
          <w:lang w:val="it-IT"/>
        </w:rPr>
        <w:t>come l'aumento dei livelli di antigene prostatico specifico (PSA), nonostante l'utilizzo di trattamenti ormonali che abbassano il testosterone</w:t>
      </w:r>
      <w:r w:rsidR="008A195A" w:rsidRPr="00CF0531">
        <w:rPr>
          <w:iCs/>
          <w:vertAlign w:val="superscript"/>
          <w:lang w:val="it-IT"/>
        </w:rPr>
        <w:t>7</w:t>
      </w:r>
      <w:r w:rsidR="00EE2184" w:rsidRPr="00CF0531">
        <w:rPr>
          <w:iCs/>
          <w:lang w:val="it-IT"/>
        </w:rPr>
        <w:t xml:space="preserve">. </w:t>
      </w:r>
      <w:r w:rsidR="00AF7C4F" w:rsidRPr="00CF0531">
        <w:rPr>
          <w:iCs/>
          <w:lang w:val="it-IT"/>
        </w:rPr>
        <w:t>Nel carcinoma della prostat</w:t>
      </w:r>
      <w:r w:rsidR="00CC6F1E" w:rsidRPr="00CF0531">
        <w:rPr>
          <w:iCs/>
          <w:lang w:val="it-IT"/>
        </w:rPr>
        <w:t>a</w:t>
      </w:r>
      <w:r w:rsidR="00AF7C4F" w:rsidRPr="00CF0531">
        <w:rPr>
          <w:iCs/>
          <w:lang w:val="it-IT"/>
        </w:rPr>
        <w:t xml:space="preserve"> </w:t>
      </w:r>
      <w:r w:rsidR="00CC6F1E" w:rsidRPr="00CF0531">
        <w:rPr>
          <w:iCs/>
          <w:lang w:val="it-IT"/>
        </w:rPr>
        <w:t xml:space="preserve">metastatico </w:t>
      </w:r>
      <w:r w:rsidR="00AF7C4F" w:rsidRPr="00CF0531">
        <w:rPr>
          <w:iCs/>
          <w:lang w:val="it-IT"/>
        </w:rPr>
        <w:t>resistente alla castrazione</w:t>
      </w:r>
      <w:r w:rsidR="00EE2184" w:rsidRPr="00CF0531">
        <w:rPr>
          <w:iCs/>
          <w:lang w:val="it-IT"/>
        </w:rPr>
        <w:t xml:space="preserve"> (mCRPC), </w:t>
      </w:r>
      <w:r w:rsidR="00AF7C4F" w:rsidRPr="00CF0531">
        <w:rPr>
          <w:iCs/>
          <w:lang w:val="it-IT"/>
        </w:rPr>
        <w:t>il tumore si diffonde ad altre sedi del corpo come gli organi o le ossa adiacenti e non risponde al trattamento ormonale</w:t>
      </w:r>
      <w:r w:rsidR="00F71386" w:rsidRPr="00CF0531">
        <w:rPr>
          <w:iCs/>
          <w:vertAlign w:val="superscript"/>
          <w:lang w:val="it-IT"/>
        </w:rPr>
        <w:t>7</w:t>
      </w:r>
      <w:r w:rsidR="00EE2184" w:rsidRPr="00CF0531">
        <w:rPr>
          <w:iCs/>
          <w:lang w:val="it-IT"/>
        </w:rPr>
        <w:t xml:space="preserve">. </w:t>
      </w:r>
      <w:r w:rsidR="00AF7C4F" w:rsidRPr="00CF0531">
        <w:rPr>
          <w:iCs/>
          <w:lang w:val="it-IT"/>
        </w:rPr>
        <w:t>Il tasso di sopravvivenza a 5 anni dei pazienti con carcinoma della prostat</w:t>
      </w:r>
      <w:r w:rsidR="00CC6F1E" w:rsidRPr="00CF0531">
        <w:rPr>
          <w:iCs/>
          <w:lang w:val="it-IT"/>
        </w:rPr>
        <w:t>a</w:t>
      </w:r>
      <w:r w:rsidR="00AF7C4F" w:rsidRPr="00CF0531">
        <w:rPr>
          <w:iCs/>
          <w:lang w:val="it-IT"/>
        </w:rPr>
        <w:t xml:space="preserve"> metastatico è circa del </w:t>
      </w:r>
      <w:r w:rsidR="001854D0" w:rsidRPr="00CF0531">
        <w:rPr>
          <w:iCs/>
          <w:lang w:val="it-IT"/>
        </w:rPr>
        <w:t>30</w:t>
      </w:r>
      <w:r w:rsidR="00EE2184" w:rsidRPr="00CF0531">
        <w:rPr>
          <w:iCs/>
          <w:lang w:val="it-IT"/>
        </w:rPr>
        <w:t>%</w:t>
      </w:r>
      <w:r w:rsidR="00EE2184" w:rsidRPr="00CF0531">
        <w:rPr>
          <w:iCs/>
          <w:vertAlign w:val="superscript"/>
          <w:lang w:val="it-IT"/>
        </w:rPr>
        <w:t>2</w:t>
      </w:r>
      <w:r w:rsidR="00EE2184" w:rsidRPr="00CF0531">
        <w:rPr>
          <w:iCs/>
          <w:lang w:val="it-IT"/>
        </w:rPr>
        <w:t>.</w:t>
      </w:r>
    </w:p>
    <w:p w14:paraId="494647A7" w14:textId="77777777" w:rsidR="00EE2184" w:rsidRPr="00CF0531" w:rsidRDefault="00EE2184" w:rsidP="00457492">
      <w:pPr>
        <w:pStyle w:val="Bullets"/>
        <w:numPr>
          <w:ilvl w:val="0"/>
          <w:numId w:val="0"/>
        </w:numPr>
        <w:jc w:val="both"/>
        <w:rPr>
          <w:b/>
          <w:bCs/>
          <w:sz w:val="32"/>
          <w:szCs w:val="32"/>
          <w:lang w:val="it-IT"/>
        </w:rPr>
      </w:pPr>
    </w:p>
    <w:p w14:paraId="28379C39" w14:textId="77777777" w:rsidR="0075609C" w:rsidRPr="00CF0531" w:rsidRDefault="00AF7C4F" w:rsidP="00457492">
      <w:pPr>
        <w:pStyle w:val="Bullets"/>
        <w:numPr>
          <w:ilvl w:val="0"/>
          <w:numId w:val="0"/>
        </w:numPr>
        <w:jc w:val="both"/>
        <w:rPr>
          <w:b/>
          <w:bCs/>
          <w:lang w:val="it-IT"/>
        </w:rPr>
      </w:pPr>
      <w:r w:rsidRPr="00CF0531">
        <w:rPr>
          <w:b/>
          <w:bCs/>
          <w:lang w:val="it-IT"/>
        </w:rPr>
        <w:t xml:space="preserve">La medicina di precisione fenotipica nel carcinoma prostatico avanzato </w:t>
      </w:r>
    </w:p>
    <w:p w14:paraId="78710647" w14:textId="01EAA91D" w:rsidR="00EE2184" w:rsidRPr="00CF0531" w:rsidRDefault="00AF7C4F" w:rsidP="00457492">
      <w:pPr>
        <w:pStyle w:val="Bullets"/>
        <w:numPr>
          <w:ilvl w:val="0"/>
          <w:numId w:val="0"/>
        </w:numPr>
        <w:jc w:val="both"/>
        <w:rPr>
          <w:lang w:val="it-IT"/>
        </w:rPr>
      </w:pPr>
      <w:r w:rsidRPr="00CF0531">
        <w:rPr>
          <w:lang w:val="it-IT"/>
        </w:rPr>
        <w:t xml:space="preserve">Nonostante i progressi nella cura del cancro </w:t>
      </w:r>
      <w:r w:rsidR="00F8783E" w:rsidRPr="00CF0531">
        <w:rPr>
          <w:lang w:val="it-IT"/>
        </w:rPr>
        <w:t>del</w:t>
      </w:r>
      <w:r w:rsidRPr="00CF0531">
        <w:rPr>
          <w:lang w:val="it-IT"/>
        </w:rPr>
        <w:t xml:space="preserve">la prostata, vi è un forte bisogno insoddisfatto di nuove opzioni di trattamento mirate per migliorare i risultati </w:t>
      </w:r>
      <w:r w:rsidR="00271077" w:rsidRPr="00CF0531">
        <w:rPr>
          <w:lang w:val="it-IT"/>
        </w:rPr>
        <w:t>de</w:t>
      </w:r>
      <w:r w:rsidRPr="00CF0531">
        <w:rPr>
          <w:lang w:val="it-IT"/>
        </w:rPr>
        <w:t>i pazienti con carcinoma prostatico metastatico resistente alla castrazione (</w:t>
      </w:r>
      <w:r w:rsidR="007376DD" w:rsidRPr="00CF0531">
        <w:rPr>
          <w:lang w:val="it-IT"/>
        </w:rPr>
        <w:t>mCRPC</w:t>
      </w:r>
      <w:r w:rsidRPr="00CF0531">
        <w:rPr>
          <w:lang w:val="it-IT"/>
        </w:rPr>
        <w:t>)</w:t>
      </w:r>
      <w:r w:rsidR="00EE2184" w:rsidRPr="00CF0531">
        <w:rPr>
          <w:lang w:val="it-IT"/>
        </w:rPr>
        <w:t xml:space="preserve">. </w:t>
      </w:r>
      <w:r w:rsidRPr="00CF0531">
        <w:rPr>
          <w:lang w:val="it-IT"/>
        </w:rPr>
        <w:t>Più dell’</w:t>
      </w:r>
      <w:r w:rsidR="00EE2184" w:rsidRPr="00CF0531">
        <w:rPr>
          <w:lang w:val="it-IT"/>
        </w:rPr>
        <w:t xml:space="preserve">80% </w:t>
      </w:r>
      <w:r w:rsidRPr="00CF0531">
        <w:rPr>
          <w:lang w:val="it-IT"/>
        </w:rPr>
        <w:t>dei tumori della prostat</w:t>
      </w:r>
      <w:r w:rsidR="00271077" w:rsidRPr="00CF0531">
        <w:rPr>
          <w:lang w:val="it-IT"/>
        </w:rPr>
        <w:t>a</w:t>
      </w:r>
      <w:r w:rsidRPr="00CF0531">
        <w:rPr>
          <w:lang w:val="it-IT"/>
        </w:rPr>
        <w:t xml:space="preserve"> esprime </w:t>
      </w:r>
      <w:r w:rsidR="0018502B" w:rsidRPr="00CF0531">
        <w:rPr>
          <w:lang w:val="it-IT"/>
        </w:rPr>
        <w:t>in quantità elevate</w:t>
      </w:r>
      <w:r w:rsidRPr="00CF0531">
        <w:rPr>
          <w:lang w:val="it-IT"/>
        </w:rPr>
        <w:t xml:space="preserve"> un biomarcatore fenotipico</w:t>
      </w:r>
      <w:r w:rsidR="004F458B" w:rsidRPr="00CF0531">
        <w:rPr>
          <w:vertAlign w:val="superscript"/>
          <w:lang w:val="it-IT"/>
        </w:rPr>
        <w:t>6</w:t>
      </w:r>
      <w:r w:rsidR="00D72378" w:rsidRPr="00CF0531">
        <w:rPr>
          <w:lang w:val="it-IT"/>
        </w:rPr>
        <w:t xml:space="preserve"> </w:t>
      </w:r>
      <w:r w:rsidRPr="00CF0531">
        <w:rPr>
          <w:lang w:val="it-IT"/>
        </w:rPr>
        <w:t xml:space="preserve">chiamato </w:t>
      </w:r>
      <w:r w:rsidR="00F8783E" w:rsidRPr="00CF0531">
        <w:rPr>
          <w:lang w:val="it-IT"/>
        </w:rPr>
        <w:t>A</w:t>
      </w:r>
      <w:r w:rsidRPr="00CF0531">
        <w:rPr>
          <w:lang w:val="it-IT"/>
        </w:rPr>
        <w:t xml:space="preserve">ntigene di </w:t>
      </w:r>
      <w:r w:rsidR="00F8783E" w:rsidRPr="00CF0531">
        <w:rPr>
          <w:lang w:val="it-IT"/>
        </w:rPr>
        <w:t>M</w:t>
      </w:r>
      <w:r w:rsidRPr="00CF0531">
        <w:rPr>
          <w:lang w:val="it-IT"/>
        </w:rPr>
        <w:t xml:space="preserve">embrana </w:t>
      </w:r>
      <w:r w:rsidR="00F8783E" w:rsidRPr="00CF0531">
        <w:rPr>
          <w:lang w:val="it-IT"/>
        </w:rPr>
        <w:t>S</w:t>
      </w:r>
      <w:r w:rsidRPr="00CF0531">
        <w:rPr>
          <w:lang w:val="it-IT"/>
        </w:rPr>
        <w:t xml:space="preserve">pecifico della </w:t>
      </w:r>
      <w:r w:rsidR="00F8783E" w:rsidRPr="00CF0531">
        <w:rPr>
          <w:lang w:val="it-IT"/>
        </w:rPr>
        <w:t>P</w:t>
      </w:r>
      <w:r w:rsidRPr="00CF0531">
        <w:rPr>
          <w:lang w:val="it-IT"/>
        </w:rPr>
        <w:t xml:space="preserve">rostata </w:t>
      </w:r>
      <w:r w:rsidR="00EE2184" w:rsidRPr="00CF0531">
        <w:rPr>
          <w:lang w:val="it-IT"/>
        </w:rPr>
        <w:t>(PSMA)</w:t>
      </w:r>
      <w:r w:rsidR="00D72378" w:rsidRPr="00CF0531" w:rsidDel="00D72378">
        <w:rPr>
          <w:vertAlign w:val="superscript"/>
          <w:lang w:val="it-IT"/>
        </w:rPr>
        <w:t xml:space="preserve"> </w:t>
      </w:r>
      <w:r w:rsidR="00D72378" w:rsidRPr="00CF0531">
        <w:rPr>
          <w:vertAlign w:val="superscript"/>
          <w:lang w:val="it-IT"/>
        </w:rPr>
        <w:t>3-5</w:t>
      </w:r>
      <w:r w:rsidR="0046539B" w:rsidRPr="00CF0531">
        <w:rPr>
          <w:vertAlign w:val="superscript"/>
          <w:lang w:val="it-IT"/>
        </w:rPr>
        <w:t>,</w:t>
      </w:r>
      <w:r w:rsidR="004F458B" w:rsidRPr="00CF0531">
        <w:rPr>
          <w:vertAlign w:val="superscript"/>
          <w:lang w:val="it-IT"/>
        </w:rPr>
        <w:t>8-9</w:t>
      </w:r>
      <w:r w:rsidR="00EE2184" w:rsidRPr="00CF0531">
        <w:rPr>
          <w:lang w:val="it-IT"/>
        </w:rPr>
        <w:t xml:space="preserve">, </w:t>
      </w:r>
      <w:r w:rsidR="007C3EBE" w:rsidRPr="00CF0531">
        <w:rPr>
          <w:lang w:val="it-IT"/>
        </w:rPr>
        <w:t xml:space="preserve">rendendolo un promettente </w:t>
      </w:r>
      <w:r w:rsidR="007915BA">
        <w:rPr>
          <w:lang w:val="it-IT"/>
        </w:rPr>
        <w:t xml:space="preserve">target </w:t>
      </w:r>
      <w:r w:rsidR="007C3EBE" w:rsidRPr="00CF0531">
        <w:rPr>
          <w:lang w:val="it-IT"/>
        </w:rPr>
        <w:t>diagnostico (tramite tomografia a emissione di positroni (PET)) e potenziale target terapeutico per la terapia con radioligando</w:t>
      </w:r>
      <w:r w:rsidR="004F458B" w:rsidRPr="00CF0531">
        <w:rPr>
          <w:vertAlign w:val="superscript"/>
          <w:lang w:val="it-IT"/>
        </w:rPr>
        <w:t>10</w:t>
      </w:r>
      <w:r w:rsidR="00EE2184" w:rsidRPr="00CF0531">
        <w:rPr>
          <w:lang w:val="it-IT"/>
        </w:rPr>
        <w:t xml:space="preserve">. </w:t>
      </w:r>
      <w:r w:rsidR="00271077" w:rsidRPr="000A2CCC">
        <w:rPr>
          <w:lang w:val="it-IT"/>
        </w:rPr>
        <w:t>S</w:t>
      </w:r>
      <w:r w:rsidR="007C3EBE" w:rsidRPr="000A2CCC">
        <w:rPr>
          <w:lang w:val="it-IT"/>
        </w:rPr>
        <w:t>i</w:t>
      </w:r>
      <w:r w:rsidR="007C3EBE" w:rsidRPr="00CF0531">
        <w:rPr>
          <w:lang w:val="it-IT"/>
        </w:rPr>
        <w:t xml:space="preserve"> differenzia dalla medicina di precisione “genotipica” che si occupa delle </w:t>
      </w:r>
      <w:r w:rsidR="00271077" w:rsidRPr="00CF0531">
        <w:rPr>
          <w:lang w:val="it-IT"/>
        </w:rPr>
        <w:t>a</w:t>
      </w:r>
      <w:r w:rsidR="007C3EBE" w:rsidRPr="00CF0531">
        <w:rPr>
          <w:lang w:val="it-IT"/>
        </w:rPr>
        <w:t>lterazioni genetiche specifiche delle cellule cancerogene</w:t>
      </w:r>
      <w:r w:rsidR="007E7121" w:rsidRPr="00CF0531">
        <w:rPr>
          <w:rFonts w:eastAsiaTheme="minorEastAsia" w:cstheme="minorHAnsi"/>
          <w:iCs/>
          <w:vertAlign w:val="superscript"/>
          <w:lang w:val="it-IT"/>
        </w:rPr>
        <w:t>6</w:t>
      </w:r>
      <w:r w:rsidR="00F66663" w:rsidRPr="00CF0531">
        <w:rPr>
          <w:rFonts w:eastAsiaTheme="minorEastAsia" w:cstheme="minorHAnsi"/>
          <w:iCs/>
          <w:lang w:val="it-IT"/>
        </w:rPr>
        <w:t>.</w:t>
      </w:r>
    </w:p>
    <w:p w14:paraId="230ACE40" w14:textId="77777777" w:rsidR="00EE2184" w:rsidRPr="00CF0531" w:rsidRDefault="00EE2184" w:rsidP="00457492">
      <w:pPr>
        <w:jc w:val="both"/>
        <w:rPr>
          <w:b/>
          <w:bCs/>
          <w:iCs/>
          <w:sz w:val="32"/>
          <w:szCs w:val="32"/>
          <w:lang w:val="it-IT"/>
        </w:rPr>
      </w:pPr>
    </w:p>
    <w:p w14:paraId="70973BD9" w14:textId="77777777" w:rsidR="00EE2184" w:rsidRPr="00CF0531" w:rsidRDefault="007C3EBE" w:rsidP="00457492">
      <w:pPr>
        <w:jc w:val="both"/>
        <w:rPr>
          <w:lang w:val="it-IT"/>
        </w:rPr>
      </w:pPr>
      <w:r w:rsidRPr="00CF0531">
        <w:rPr>
          <w:b/>
          <w:bCs/>
          <w:lang w:val="it-IT"/>
        </w:rPr>
        <w:t>La terapia con</w:t>
      </w:r>
      <w:r w:rsidRPr="00CF0531">
        <w:rPr>
          <w:b/>
          <w:bCs/>
          <w:vertAlign w:val="superscript"/>
          <w:lang w:val="it-IT"/>
        </w:rPr>
        <w:t xml:space="preserve"> </w:t>
      </w:r>
      <w:r w:rsidR="00EE2184" w:rsidRPr="00CF0531">
        <w:rPr>
          <w:b/>
          <w:bCs/>
          <w:vertAlign w:val="superscript"/>
          <w:lang w:val="it-IT"/>
        </w:rPr>
        <w:t>177</w:t>
      </w:r>
      <w:r w:rsidR="00EE2184" w:rsidRPr="00CF0531">
        <w:rPr>
          <w:b/>
          <w:bCs/>
          <w:lang w:val="it-IT"/>
        </w:rPr>
        <w:t>Lu-PSMA-617</w:t>
      </w:r>
    </w:p>
    <w:p w14:paraId="74DFE26C" w14:textId="47BF32EA" w:rsidR="00EE2184" w:rsidRPr="00CF0531" w:rsidRDefault="00EE2184" w:rsidP="00457492">
      <w:pPr>
        <w:pStyle w:val="Default"/>
        <w:jc w:val="both"/>
        <w:rPr>
          <w:sz w:val="40"/>
          <w:szCs w:val="40"/>
          <w:lang w:val="it-IT"/>
        </w:rPr>
      </w:pPr>
      <w:r w:rsidRPr="00CF0531">
        <w:rPr>
          <w:sz w:val="20"/>
          <w:szCs w:val="20"/>
          <w:vertAlign w:val="superscript"/>
          <w:lang w:val="it-IT"/>
        </w:rPr>
        <w:t>177</w:t>
      </w:r>
      <w:r w:rsidRPr="00CF0531">
        <w:rPr>
          <w:sz w:val="20"/>
          <w:szCs w:val="20"/>
          <w:lang w:val="it-IT"/>
        </w:rPr>
        <w:t xml:space="preserve">Lu-PSMA-617 </w:t>
      </w:r>
      <w:r w:rsidR="007C3EBE" w:rsidRPr="00CF0531">
        <w:rPr>
          <w:sz w:val="20"/>
          <w:szCs w:val="20"/>
          <w:lang w:val="it-IT"/>
        </w:rPr>
        <w:t xml:space="preserve">è una terapia </w:t>
      </w:r>
      <w:r w:rsidR="00586F9E" w:rsidRPr="00CF0531">
        <w:rPr>
          <w:sz w:val="20"/>
          <w:szCs w:val="20"/>
          <w:lang w:val="it-IT"/>
        </w:rPr>
        <w:t xml:space="preserve">sperimentale </w:t>
      </w:r>
      <w:r w:rsidR="007C3EBE" w:rsidRPr="00CF0531">
        <w:rPr>
          <w:sz w:val="20"/>
          <w:szCs w:val="20"/>
          <w:lang w:val="it-IT"/>
        </w:rPr>
        <w:t xml:space="preserve">con ligando diretta </w:t>
      </w:r>
      <w:r w:rsidR="000D4477" w:rsidRPr="00CF0531">
        <w:rPr>
          <w:sz w:val="20"/>
          <w:szCs w:val="20"/>
          <w:lang w:val="it-IT"/>
        </w:rPr>
        <w:t>verso</w:t>
      </w:r>
      <w:r w:rsidR="007C3EBE" w:rsidRPr="00CF0531">
        <w:rPr>
          <w:sz w:val="20"/>
          <w:szCs w:val="20"/>
          <w:lang w:val="it-IT"/>
        </w:rPr>
        <w:t xml:space="preserve"> </w:t>
      </w:r>
      <w:r w:rsidRPr="00CF0531">
        <w:rPr>
          <w:sz w:val="20"/>
          <w:szCs w:val="20"/>
          <w:lang w:val="it-IT"/>
        </w:rPr>
        <w:t>PSMA</w:t>
      </w:r>
      <w:r w:rsidR="007C3EBE" w:rsidRPr="00CF0531">
        <w:rPr>
          <w:sz w:val="20"/>
          <w:szCs w:val="20"/>
          <w:lang w:val="it-IT"/>
        </w:rPr>
        <w:t xml:space="preserve"> nel carcinoma della prostat</w:t>
      </w:r>
      <w:r w:rsidR="00271077" w:rsidRPr="00CF0531">
        <w:rPr>
          <w:sz w:val="20"/>
          <w:szCs w:val="20"/>
          <w:lang w:val="it-IT"/>
        </w:rPr>
        <w:t>a</w:t>
      </w:r>
      <w:r w:rsidR="007C3EBE" w:rsidRPr="00CF0531">
        <w:rPr>
          <w:sz w:val="20"/>
          <w:szCs w:val="20"/>
          <w:lang w:val="it-IT"/>
        </w:rPr>
        <w:t xml:space="preserve"> metastatico resistente alla castrazione</w:t>
      </w:r>
      <w:r w:rsidRPr="00CF0531">
        <w:rPr>
          <w:sz w:val="20"/>
          <w:szCs w:val="20"/>
          <w:lang w:val="it-IT"/>
        </w:rPr>
        <w:t xml:space="preserve">. </w:t>
      </w:r>
      <w:r w:rsidR="007C3EBE" w:rsidRPr="00CF0531">
        <w:rPr>
          <w:sz w:val="20"/>
          <w:szCs w:val="20"/>
          <w:lang w:val="it-IT"/>
        </w:rPr>
        <w:t xml:space="preserve">Si tratta di un trattamento antitumorale di precisione che combina un composto mirato </w:t>
      </w:r>
      <w:r w:rsidRPr="00CF0531">
        <w:rPr>
          <w:sz w:val="20"/>
          <w:szCs w:val="20"/>
          <w:lang w:val="it-IT"/>
        </w:rPr>
        <w:t>(ligand</w:t>
      </w:r>
      <w:r w:rsidR="007C3EBE" w:rsidRPr="00CF0531">
        <w:rPr>
          <w:sz w:val="20"/>
          <w:szCs w:val="20"/>
          <w:lang w:val="it-IT"/>
        </w:rPr>
        <w:t>o</w:t>
      </w:r>
      <w:r w:rsidRPr="00CF0531">
        <w:rPr>
          <w:sz w:val="20"/>
          <w:szCs w:val="20"/>
          <w:lang w:val="it-IT"/>
        </w:rPr>
        <w:t xml:space="preserve">) </w:t>
      </w:r>
      <w:r w:rsidR="007C3EBE" w:rsidRPr="00CF0531">
        <w:rPr>
          <w:sz w:val="20"/>
          <w:szCs w:val="20"/>
          <w:lang w:val="it-IT"/>
        </w:rPr>
        <w:t>con un radioisotopo terapeutico (una particella radioattiva)</w:t>
      </w:r>
      <w:r w:rsidR="00133673" w:rsidRPr="00CF0531">
        <w:rPr>
          <w:iCs/>
          <w:sz w:val="20"/>
          <w:szCs w:val="20"/>
          <w:vertAlign w:val="superscript"/>
          <w:lang w:val="it-IT"/>
        </w:rPr>
        <w:t>1</w:t>
      </w:r>
      <w:r w:rsidR="00F70DA4">
        <w:rPr>
          <w:iCs/>
          <w:sz w:val="20"/>
          <w:szCs w:val="20"/>
          <w:vertAlign w:val="superscript"/>
          <w:lang w:val="it-IT"/>
        </w:rPr>
        <w:t>1-13</w:t>
      </w:r>
      <w:r w:rsidRPr="00CF0531">
        <w:rPr>
          <w:iCs/>
          <w:sz w:val="20"/>
          <w:szCs w:val="20"/>
          <w:lang w:val="it-IT"/>
        </w:rPr>
        <w:t xml:space="preserve">. </w:t>
      </w:r>
      <w:r w:rsidR="007C3EBE" w:rsidRPr="00CF0531">
        <w:rPr>
          <w:iCs/>
          <w:sz w:val="20"/>
          <w:szCs w:val="20"/>
          <w:lang w:val="it-IT"/>
        </w:rPr>
        <w:t>Dopo la somministrazione nel flusso sanguigno</w:t>
      </w:r>
      <w:r w:rsidRPr="00CF0531">
        <w:rPr>
          <w:iCs/>
          <w:sz w:val="20"/>
          <w:szCs w:val="20"/>
          <w:lang w:val="it-IT"/>
        </w:rPr>
        <w:t xml:space="preserve">, </w:t>
      </w:r>
      <w:r w:rsidRPr="00CF0531">
        <w:rPr>
          <w:sz w:val="20"/>
          <w:szCs w:val="20"/>
          <w:vertAlign w:val="superscript"/>
          <w:lang w:val="it-IT"/>
        </w:rPr>
        <w:t>177</w:t>
      </w:r>
      <w:r w:rsidRPr="00CF0531">
        <w:rPr>
          <w:sz w:val="20"/>
          <w:szCs w:val="20"/>
          <w:lang w:val="it-IT"/>
        </w:rPr>
        <w:t xml:space="preserve">Lu-PSMA-617 </w:t>
      </w:r>
      <w:r w:rsidR="007C3EBE" w:rsidRPr="00CF0531">
        <w:rPr>
          <w:sz w:val="20"/>
          <w:szCs w:val="20"/>
          <w:lang w:val="it-IT"/>
        </w:rPr>
        <w:t xml:space="preserve">si lega alle cellule del cancro </w:t>
      </w:r>
      <w:r w:rsidR="00C544E1" w:rsidRPr="00CF0531">
        <w:rPr>
          <w:sz w:val="20"/>
          <w:szCs w:val="20"/>
          <w:lang w:val="it-IT"/>
        </w:rPr>
        <w:t>della prostat</w:t>
      </w:r>
      <w:r w:rsidR="00271077" w:rsidRPr="00CF0531">
        <w:rPr>
          <w:sz w:val="20"/>
          <w:szCs w:val="20"/>
          <w:lang w:val="it-IT"/>
        </w:rPr>
        <w:t>a</w:t>
      </w:r>
      <w:r w:rsidR="00C544E1" w:rsidRPr="00CF0531">
        <w:rPr>
          <w:sz w:val="20"/>
          <w:szCs w:val="20"/>
          <w:lang w:val="it-IT"/>
        </w:rPr>
        <w:t xml:space="preserve"> che esprimono </w:t>
      </w:r>
      <w:r w:rsidR="008A206D" w:rsidRPr="00CF0531">
        <w:rPr>
          <w:sz w:val="20"/>
          <w:szCs w:val="20"/>
          <w:lang w:val="it-IT"/>
        </w:rPr>
        <w:t>PSMA</w:t>
      </w:r>
      <w:r w:rsidR="007E7121" w:rsidRPr="00CF0531">
        <w:rPr>
          <w:sz w:val="20"/>
          <w:szCs w:val="20"/>
          <w:vertAlign w:val="superscript"/>
          <w:lang w:val="it-IT"/>
        </w:rPr>
        <w:t>1</w:t>
      </w:r>
      <w:r w:rsidR="00F70DA4">
        <w:rPr>
          <w:sz w:val="20"/>
          <w:szCs w:val="20"/>
          <w:vertAlign w:val="superscript"/>
          <w:lang w:val="it-IT"/>
        </w:rPr>
        <w:t>4</w:t>
      </w:r>
      <w:r w:rsidRPr="00CF0531">
        <w:rPr>
          <w:sz w:val="20"/>
          <w:szCs w:val="20"/>
          <w:lang w:val="it-IT"/>
        </w:rPr>
        <w:t>,</w:t>
      </w:r>
      <w:r w:rsidRPr="00CF0531">
        <w:rPr>
          <w:iCs/>
          <w:sz w:val="20"/>
          <w:szCs w:val="20"/>
          <w:lang w:val="it-IT"/>
        </w:rPr>
        <w:t xml:space="preserve"> </w:t>
      </w:r>
      <w:r w:rsidR="00C544E1" w:rsidRPr="00CF0531">
        <w:rPr>
          <w:iCs/>
          <w:sz w:val="20"/>
          <w:szCs w:val="20"/>
          <w:lang w:val="it-IT"/>
        </w:rPr>
        <w:t>una proteina transmembrana</w:t>
      </w:r>
      <w:r w:rsidRPr="00CF0531">
        <w:rPr>
          <w:iCs/>
          <w:sz w:val="20"/>
          <w:szCs w:val="20"/>
          <w:lang w:val="it-IT"/>
        </w:rPr>
        <w:t xml:space="preserve">, </w:t>
      </w:r>
      <w:r w:rsidR="00C544E1" w:rsidRPr="00CF0531">
        <w:rPr>
          <w:iCs/>
          <w:sz w:val="20"/>
          <w:szCs w:val="20"/>
          <w:lang w:val="it-IT"/>
        </w:rPr>
        <w:t xml:space="preserve">con elevato assorbimento del </w:t>
      </w:r>
      <w:r w:rsidR="00C544E1" w:rsidRPr="00CF0531">
        <w:rPr>
          <w:iCs/>
          <w:color w:val="auto"/>
          <w:sz w:val="20"/>
          <w:szCs w:val="20"/>
          <w:lang w:val="it-IT"/>
        </w:rPr>
        <w:t xml:space="preserve">tessuto </w:t>
      </w:r>
      <w:r w:rsidR="00FD70AA" w:rsidRPr="00CF0531">
        <w:rPr>
          <w:iCs/>
          <w:color w:val="auto"/>
          <w:sz w:val="20"/>
          <w:szCs w:val="20"/>
          <w:lang w:val="it-IT"/>
        </w:rPr>
        <w:t xml:space="preserve">da </w:t>
      </w:r>
      <w:r w:rsidR="00C544E1" w:rsidRPr="00CF0531">
        <w:rPr>
          <w:iCs/>
          <w:color w:val="auto"/>
          <w:sz w:val="20"/>
          <w:szCs w:val="20"/>
          <w:lang w:val="it-IT"/>
        </w:rPr>
        <w:t>tumorale</w:t>
      </w:r>
      <w:r w:rsidR="00FD70AA" w:rsidRPr="00CF0531">
        <w:rPr>
          <w:iCs/>
          <w:color w:val="auto"/>
          <w:sz w:val="20"/>
          <w:szCs w:val="20"/>
          <w:lang w:val="it-IT"/>
        </w:rPr>
        <w:t xml:space="preserve"> a </w:t>
      </w:r>
      <w:r w:rsidRPr="00CF0531">
        <w:rPr>
          <w:iCs/>
          <w:color w:val="auto"/>
          <w:sz w:val="20"/>
          <w:szCs w:val="20"/>
          <w:lang w:val="it-IT"/>
        </w:rPr>
        <w:t>normal</w:t>
      </w:r>
      <w:r w:rsidR="00C544E1" w:rsidRPr="00CF0531">
        <w:rPr>
          <w:iCs/>
          <w:color w:val="auto"/>
          <w:sz w:val="20"/>
          <w:szCs w:val="20"/>
          <w:lang w:val="it-IT"/>
        </w:rPr>
        <w:t>e</w:t>
      </w:r>
      <w:r w:rsidR="00133673" w:rsidRPr="00CF0531">
        <w:rPr>
          <w:iCs/>
          <w:color w:val="auto"/>
          <w:sz w:val="20"/>
          <w:szCs w:val="20"/>
          <w:vertAlign w:val="superscript"/>
          <w:lang w:val="it-IT"/>
        </w:rPr>
        <w:t>1</w:t>
      </w:r>
      <w:r w:rsidR="00F70DA4">
        <w:rPr>
          <w:iCs/>
          <w:color w:val="auto"/>
          <w:sz w:val="20"/>
          <w:szCs w:val="20"/>
          <w:vertAlign w:val="superscript"/>
          <w:lang w:val="it-IT"/>
        </w:rPr>
        <w:t>1,15,16</w:t>
      </w:r>
      <w:r w:rsidRPr="00CF0531">
        <w:rPr>
          <w:iCs/>
          <w:sz w:val="20"/>
          <w:szCs w:val="20"/>
          <w:lang w:val="it-IT"/>
        </w:rPr>
        <w:t xml:space="preserve">. </w:t>
      </w:r>
      <w:r w:rsidR="00C544E1" w:rsidRPr="00CF0531">
        <w:rPr>
          <w:iCs/>
          <w:sz w:val="20"/>
          <w:szCs w:val="20"/>
          <w:lang w:val="it-IT"/>
        </w:rPr>
        <w:t>Una volta legat</w:t>
      </w:r>
      <w:r w:rsidR="007915BA">
        <w:rPr>
          <w:iCs/>
          <w:sz w:val="20"/>
          <w:szCs w:val="20"/>
          <w:lang w:val="it-IT"/>
        </w:rPr>
        <w:t>a</w:t>
      </w:r>
      <w:r w:rsidR="00C544E1" w:rsidRPr="00CF0531">
        <w:rPr>
          <w:iCs/>
          <w:sz w:val="20"/>
          <w:szCs w:val="20"/>
          <w:lang w:val="it-IT"/>
        </w:rPr>
        <w:t>, le emissioni del radioisotopo danneggiano le cellule tumorali</w:t>
      </w:r>
      <w:r w:rsidRPr="00CF0531">
        <w:rPr>
          <w:iCs/>
          <w:sz w:val="20"/>
          <w:szCs w:val="20"/>
          <w:lang w:val="it-IT"/>
        </w:rPr>
        <w:t xml:space="preserve">, </w:t>
      </w:r>
      <w:r w:rsidR="00C544E1" w:rsidRPr="00CF0531">
        <w:rPr>
          <w:iCs/>
          <w:sz w:val="20"/>
          <w:szCs w:val="20"/>
          <w:lang w:val="it-IT"/>
        </w:rPr>
        <w:t xml:space="preserve">interrompendo la loro capacità di </w:t>
      </w:r>
      <w:r w:rsidR="00C544E1" w:rsidRPr="00CF0531">
        <w:rPr>
          <w:iCs/>
          <w:sz w:val="20"/>
          <w:szCs w:val="20"/>
          <w:lang w:val="it-IT"/>
        </w:rPr>
        <w:lastRenderedPageBreak/>
        <w:t>replicarsi e/o innescando la morte cellulare</w:t>
      </w:r>
      <w:r w:rsidR="00F70DA4" w:rsidRPr="00F70DA4">
        <w:rPr>
          <w:iCs/>
          <w:sz w:val="20"/>
          <w:szCs w:val="20"/>
          <w:vertAlign w:val="superscript"/>
          <w:lang w:val="it-IT"/>
        </w:rPr>
        <w:t>17-19</w:t>
      </w:r>
      <w:r w:rsidRPr="00CF0531">
        <w:rPr>
          <w:iCs/>
          <w:sz w:val="20"/>
          <w:szCs w:val="20"/>
          <w:lang w:val="it-IT"/>
        </w:rPr>
        <w:t xml:space="preserve">. </w:t>
      </w:r>
      <w:r w:rsidR="00C544E1" w:rsidRPr="00CF0531">
        <w:rPr>
          <w:iCs/>
          <w:sz w:val="20"/>
          <w:szCs w:val="20"/>
          <w:lang w:val="it-IT"/>
        </w:rPr>
        <w:t xml:space="preserve">La radiazione del </w:t>
      </w:r>
      <w:r w:rsidR="00C544E1" w:rsidRPr="00CF0531">
        <w:rPr>
          <w:sz w:val="20"/>
          <w:szCs w:val="20"/>
          <w:lang w:val="it-IT"/>
        </w:rPr>
        <w:t>radioisotop</w:t>
      </w:r>
      <w:r w:rsidR="00271077" w:rsidRPr="00CF0531">
        <w:rPr>
          <w:sz w:val="20"/>
          <w:szCs w:val="20"/>
          <w:lang w:val="it-IT"/>
        </w:rPr>
        <w:t>o</w:t>
      </w:r>
      <w:r w:rsidR="00C544E1" w:rsidRPr="00CF0531">
        <w:rPr>
          <w:sz w:val="20"/>
          <w:szCs w:val="20"/>
          <w:lang w:val="it-IT"/>
        </w:rPr>
        <w:t xml:space="preserve"> agisce su distanze molto brevi per limitare i danni alle cellule circostanti</w:t>
      </w:r>
      <w:r w:rsidR="007E7121" w:rsidRPr="00CF0531">
        <w:rPr>
          <w:sz w:val="20"/>
          <w:szCs w:val="20"/>
          <w:vertAlign w:val="superscript"/>
          <w:lang w:val="it-IT"/>
        </w:rPr>
        <w:t>10,</w:t>
      </w:r>
      <w:r w:rsidR="001B48B4" w:rsidRPr="00CF0531">
        <w:rPr>
          <w:sz w:val="20"/>
          <w:szCs w:val="20"/>
          <w:vertAlign w:val="superscript"/>
          <w:lang w:val="it-IT"/>
        </w:rPr>
        <w:t>11,</w:t>
      </w:r>
      <w:r w:rsidR="007E7121" w:rsidRPr="00CF0531">
        <w:rPr>
          <w:sz w:val="20"/>
          <w:szCs w:val="20"/>
          <w:vertAlign w:val="superscript"/>
          <w:lang w:val="it-IT"/>
        </w:rPr>
        <w:t>1</w:t>
      </w:r>
      <w:r w:rsidR="00F70DA4">
        <w:rPr>
          <w:sz w:val="20"/>
          <w:szCs w:val="20"/>
          <w:vertAlign w:val="superscript"/>
          <w:lang w:val="it-IT"/>
        </w:rPr>
        <w:t>5</w:t>
      </w:r>
      <w:r w:rsidRPr="00CF0531">
        <w:rPr>
          <w:sz w:val="20"/>
          <w:szCs w:val="20"/>
          <w:lang w:val="it-IT"/>
        </w:rPr>
        <w:t>.</w:t>
      </w:r>
    </w:p>
    <w:p w14:paraId="4BFE4D55" w14:textId="77777777" w:rsidR="00EE2184" w:rsidRPr="00CF0531" w:rsidRDefault="00EE2184" w:rsidP="00457492">
      <w:pPr>
        <w:jc w:val="both"/>
        <w:rPr>
          <w:iCs/>
          <w:sz w:val="32"/>
          <w:szCs w:val="32"/>
          <w:lang w:val="it-IT"/>
        </w:rPr>
      </w:pPr>
    </w:p>
    <w:p w14:paraId="75E998B5" w14:textId="77777777" w:rsidR="00EE2184" w:rsidRPr="00CF0531" w:rsidRDefault="00C544E1" w:rsidP="00457492">
      <w:pPr>
        <w:pStyle w:val="NormaleWeb"/>
        <w:spacing w:before="0" w:beforeAutospacing="0" w:after="0" w:afterAutospacing="0"/>
        <w:jc w:val="both"/>
        <w:rPr>
          <w:rFonts w:ascii="Arial" w:hAnsi="Arial" w:cs="Arial"/>
          <w:b/>
          <w:bCs/>
          <w:color w:val="000000"/>
          <w:sz w:val="20"/>
          <w:szCs w:val="20"/>
          <w:lang w:val="it-IT"/>
        </w:rPr>
      </w:pPr>
      <w:r w:rsidRPr="00CF0531">
        <w:rPr>
          <w:rFonts w:ascii="Arial" w:hAnsi="Arial" w:cs="Arial"/>
          <w:b/>
          <w:bCs/>
          <w:color w:val="000000"/>
          <w:sz w:val="20"/>
          <w:szCs w:val="20"/>
          <w:lang w:val="it-IT"/>
        </w:rPr>
        <w:t xml:space="preserve">Lo studio </w:t>
      </w:r>
      <w:r w:rsidR="00EE2184" w:rsidRPr="00CF0531">
        <w:rPr>
          <w:rFonts w:ascii="Arial" w:hAnsi="Arial" w:cs="Arial"/>
          <w:b/>
          <w:bCs/>
          <w:color w:val="000000"/>
          <w:sz w:val="20"/>
          <w:szCs w:val="20"/>
          <w:lang w:val="it-IT"/>
        </w:rPr>
        <w:t>VISION</w:t>
      </w:r>
    </w:p>
    <w:p w14:paraId="1D944800" w14:textId="2BAD014E" w:rsidR="00EE2184" w:rsidRPr="00CF0531" w:rsidRDefault="00EE2184" w:rsidP="00457492">
      <w:pPr>
        <w:jc w:val="both"/>
        <w:rPr>
          <w:lang w:val="it-IT"/>
        </w:rPr>
      </w:pPr>
      <w:r w:rsidRPr="00CF0531">
        <w:rPr>
          <w:lang w:val="it-IT"/>
        </w:rPr>
        <w:t xml:space="preserve">VISION </w:t>
      </w:r>
      <w:r w:rsidR="00C544E1" w:rsidRPr="00CF0531">
        <w:rPr>
          <w:lang w:val="it-IT"/>
        </w:rPr>
        <w:t xml:space="preserve">è uno studio internazionale multicentrico di Fase III </w:t>
      </w:r>
      <w:r w:rsidRPr="00CF0531">
        <w:rPr>
          <w:lang w:val="it-IT"/>
        </w:rPr>
        <w:t>prospe</w:t>
      </w:r>
      <w:r w:rsidR="00C544E1" w:rsidRPr="00CF0531">
        <w:rPr>
          <w:lang w:val="it-IT"/>
        </w:rPr>
        <w:t>t</w:t>
      </w:r>
      <w:r w:rsidRPr="00CF0531">
        <w:rPr>
          <w:lang w:val="it-IT"/>
        </w:rPr>
        <w:t>ti</w:t>
      </w:r>
      <w:r w:rsidR="00C544E1" w:rsidRPr="00CF0531">
        <w:rPr>
          <w:lang w:val="it-IT"/>
        </w:rPr>
        <w:t>co</w:t>
      </w:r>
      <w:r w:rsidRPr="00CF0531">
        <w:rPr>
          <w:lang w:val="it-IT"/>
        </w:rPr>
        <w:t>, randomiz</w:t>
      </w:r>
      <w:r w:rsidR="00C544E1" w:rsidRPr="00CF0531">
        <w:rPr>
          <w:lang w:val="it-IT"/>
        </w:rPr>
        <w:t>zato</w:t>
      </w:r>
      <w:r w:rsidRPr="00CF0531">
        <w:rPr>
          <w:lang w:val="it-IT"/>
        </w:rPr>
        <w:t xml:space="preserve">, </w:t>
      </w:r>
      <w:r w:rsidR="00C544E1" w:rsidRPr="00CF0531">
        <w:rPr>
          <w:lang w:val="it-IT"/>
        </w:rPr>
        <w:t>in aperto</w:t>
      </w:r>
      <w:r w:rsidRPr="00CF0531">
        <w:rPr>
          <w:lang w:val="it-IT"/>
        </w:rPr>
        <w:t xml:space="preserve">, </w:t>
      </w:r>
      <w:r w:rsidR="00C544E1" w:rsidRPr="00CF0531">
        <w:rPr>
          <w:lang w:val="it-IT"/>
        </w:rPr>
        <w:t>per stabilire l’efficacia e la sicurezza di</w:t>
      </w:r>
      <w:r w:rsidR="003F0818" w:rsidRPr="00CF0531">
        <w:rPr>
          <w:lang w:val="it-IT"/>
        </w:rPr>
        <w:t xml:space="preserve"> </w:t>
      </w:r>
      <w:r w:rsidRPr="00CF0531">
        <w:rPr>
          <w:vertAlign w:val="superscript"/>
          <w:lang w:val="it-IT"/>
        </w:rPr>
        <w:t>177</w:t>
      </w:r>
      <w:r w:rsidRPr="00CF0531">
        <w:rPr>
          <w:lang w:val="it-IT"/>
        </w:rPr>
        <w:t>Lu-PSMA-617 (7</w:t>
      </w:r>
      <w:r w:rsidR="00C544E1" w:rsidRPr="00CF0531">
        <w:rPr>
          <w:lang w:val="it-IT"/>
        </w:rPr>
        <w:t>,</w:t>
      </w:r>
      <w:r w:rsidRPr="00CF0531">
        <w:rPr>
          <w:lang w:val="it-IT"/>
        </w:rPr>
        <w:t xml:space="preserve">4 GBq </w:t>
      </w:r>
      <w:r w:rsidR="00076E31" w:rsidRPr="00CF0531">
        <w:rPr>
          <w:lang w:val="it-IT"/>
        </w:rPr>
        <w:t>somministrati per infusione endovenosa ogni 6 settimane per un massimo di 6 cicli</w:t>
      </w:r>
      <w:r w:rsidRPr="00CF0531">
        <w:rPr>
          <w:lang w:val="it-IT"/>
        </w:rPr>
        <w:t xml:space="preserve">) </w:t>
      </w:r>
      <w:r w:rsidR="00076E31" w:rsidRPr="00CF0531">
        <w:rPr>
          <w:lang w:val="it-IT"/>
        </w:rPr>
        <w:t>più il miglior standard di cura scelto dallo sperimentatore nel braccio sperimentale</w:t>
      </w:r>
      <w:r w:rsidRPr="00CF0531">
        <w:rPr>
          <w:lang w:val="it-IT"/>
        </w:rPr>
        <w:t xml:space="preserve">, </w:t>
      </w:r>
      <w:r w:rsidR="003F0818" w:rsidRPr="00CF0531">
        <w:rPr>
          <w:lang w:val="it-IT"/>
        </w:rPr>
        <w:t>rispetto al</w:t>
      </w:r>
      <w:r w:rsidRPr="00CF0531">
        <w:rPr>
          <w:lang w:val="it-IT"/>
        </w:rPr>
        <w:t xml:space="preserve"> </w:t>
      </w:r>
      <w:r w:rsidR="00076E31" w:rsidRPr="00CF0531">
        <w:rPr>
          <w:lang w:val="it-IT"/>
        </w:rPr>
        <w:t>miglior standard di cura nel braccio di controllo</w:t>
      </w:r>
      <w:r w:rsidR="00F70DA4">
        <w:rPr>
          <w:vertAlign w:val="superscript"/>
          <w:lang w:val="it-IT"/>
        </w:rPr>
        <w:t>20</w:t>
      </w:r>
      <w:r w:rsidRPr="00CF0531">
        <w:rPr>
          <w:lang w:val="it-IT"/>
        </w:rPr>
        <w:t xml:space="preserve">. </w:t>
      </w:r>
      <w:r w:rsidR="00076E31" w:rsidRPr="00CF0531">
        <w:rPr>
          <w:lang w:val="it-IT"/>
        </w:rPr>
        <w:t xml:space="preserve">I pazienti con mCRPC positivo alla scansione PET per PSMA e progressione dopo una precedente terapia con taxani e </w:t>
      </w:r>
      <w:r w:rsidR="007915BA">
        <w:rPr>
          <w:lang w:val="it-IT"/>
        </w:rPr>
        <w:t>antiandrogeni di seconda generazione (ARSI)</w:t>
      </w:r>
      <w:r w:rsidR="00076E31" w:rsidRPr="00CF0531">
        <w:rPr>
          <w:lang w:val="it-IT"/>
        </w:rPr>
        <w:t>, sono stati randomizzati in un rapport</w:t>
      </w:r>
      <w:r w:rsidR="00864278" w:rsidRPr="00CF0531">
        <w:rPr>
          <w:lang w:val="it-IT"/>
        </w:rPr>
        <w:t>o</w:t>
      </w:r>
      <w:r w:rsidR="00076E31" w:rsidRPr="00CF0531">
        <w:rPr>
          <w:lang w:val="it-IT"/>
        </w:rPr>
        <w:t xml:space="preserve"> </w:t>
      </w:r>
      <w:r w:rsidRPr="00CF0531">
        <w:rPr>
          <w:lang w:val="it-IT"/>
        </w:rPr>
        <w:t xml:space="preserve">2:1 </w:t>
      </w:r>
      <w:r w:rsidR="00076E31" w:rsidRPr="00CF0531">
        <w:rPr>
          <w:lang w:val="it-IT"/>
        </w:rPr>
        <w:t>a favore del braccio sperimentale.</w:t>
      </w:r>
      <w:r w:rsidRPr="00CF0531">
        <w:rPr>
          <w:lang w:val="it-IT"/>
        </w:rPr>
        <w:t xml:space="preserve"> </w:t>
      </w:r>
      <w:r w:rsidR="00076E31" w:rsidRPr="00CF0531">
        <w:rPr>
          <w:lang w:val="it-IT"/>
        </w:rPr>
        <w:t>Gli endpoint primari alternativi erano la sopravvivenza libera da progressione verificata radiograficamente (</w:t>
      </w:r>
      <w:r w:rsidRPr="00CF0531">
        <w:rPr>
          <w:lang w:val="it-IT"/>
        </w:rPr>
        <w:t>rPFS</w:t>
      </w:r>
      <w:r w:rsidR="00076E31" w:rsidRPr="00CF0531">
        <w:rPr>
          <w:lang w:val="it-IT"/>
        </w:rPr>
        <w:t>)</w:t>
      </w:r>
      <w:r w:rsidRPr="00CF0531">
        <w:rPr>
          <w:lang w:val="it-IT"/>
        </w:rPr>
        <w:t xml:space="preserve"> </w:t>
      </w:r>
      <w:r w:rsidR="00076E31" w:rsidRPr="00CF0531">
        <w:rPr>
          <w:lang w:val="it-IT"/>
        </w:rPr>
        <w:t>e la sopravvivenza globale (</w:t>
      </w:r>
      <w:r w:rsidRPr="00CF0531">
        <w:rPr>
          <w:lang w:val="it-IT"/>
        </w:rPr>
        <w:t>OS</w:t>
      </w:r>
      <w:r w:rsidR="00076E31" w:rsidRPr="00CF0531">
        <w:rPr>
          <w:lang w:val="it-IT"/>
        </w:rPr>
        <w:t>)</w:t>
      </w:r>
      <w:r w:rsidR="00F70DA4" w:rsidRPr="00F70DA4">
        <w:rPr>
          <w:vertAlign w:val="superscript"/>
          <w:lang w:val="it-IT"/>
        </w:rPr>
        <w:t>20</w:t>
      </w:r>
      <w:r w:rsidRPr="00CF0531">
        <w:rPr>
          <w:lang w:val="it-IT"/>
        </w:rPr>
        <w:t xml:space="preserve">. </w:t>
      </w:r>
      <w:r w:rsidR="00076E31" w:rsidRPr="00CF0531">
        <w:rPr>
          <w:lang w:val="it-IT"/>
        </w:rPr>
        <w:t xml:space="preserve">Lo studio ha arruolato </w:t>
      </w:r>
      <w:r w:rsidRPr="00CF0531">
        <w:rPr>
          <w:lang w:val="it-IT"/>
        </w:rPr>
        <w:t>831 pa</w:t>
      </w:r>
      <w:r w:rsidR="00076E31" w:rsidRPr="00CF0531">
        <w:rPr>
          <w:lang w:val="it-IT"/>
        </w:rPr>
        <w:t>zienti</w:t>
      </w:r>
      <w:r w:rsidRPr="00CF0531">
        <w:rPr>
          <w:vertAlign w:val="superscript"/>
          <w:lang w:val="it-IT"/>
        </w:rPr>
        <w:t>1</w:t>
      </w:r>
      <w:r w:rsidRPr="00CF0531">
        <w:rPr>
          <w:lang w:val="it-IT"/>
        </w:rPr>
        <w:t>.</w:t>
      </w:r>
    </w:p>
    <w:p w14:paraId="5C9ADF5F" w14:textId="77777777" w:rsidR="009B0703" w:rsidRPr="00CF0531" w:rsidRDefault="009B0703" w:rsidP="00457492">
      <w:pPr>
        <w:spacing w:line="0" w:lineRule="atLeast"/>
        <w:jc w:val="both"/>
        <w:rPr>
          <w:sz w:val="32"/>
          <w:szCs w:val="32"/>
          <w:lang w:val="it-IT"/>
        </w:rPr>
      </w:pPr>
    </w:p>
    <w:p w14:paraId="3C782245" w14:textId="77777777" w:rsidR="006678B3" w:rsidRPr="006678B3" w:rsidRDefault="006678B3" w:rsidP="006678B3">
      <w:pPr>
        <w:keepNext/>
        <w:keepLines/>
        <w:rPr>
          <w:rFonts w:eastAsia="Arial" w:cs="Times New Roman"/>
          <w:b/>
          <w:lang w:val="it-IT"/>
        </w:rPr>
      </w:pPr>
      <w:r w:rsidRPr="00A30C90">
        <w:rPr>
          <w:rFonts w:eastAsia="Arial" w:cs="Times New Roman"/>
          <w:b/>
          <w:lang w:val="it-IT"/>
        </w:rPr>
        <w:t>Disclaimer</w:t>
      </w:r>
    </w:p>
    <w:p w14:paraId="67C773FA" w14:textId="77777777" w:rsidR="00761CF2" w:rsidRPr="00CF0531" w:rsidRDefault="00761CF2" w:rsidP="00761CF2">
      <w:pPr>
        <w:tabs>
          <w:tab w:val="left" w:pos="7470"/>
        </w:tabs>
        <w:jc w:val="both"/>
        <w:rPr>
          <w:szCs w:val="12"/>
          <w:lang w:val="it-IT"/>
        </w:rPr>
      </w:pPr>
      <w:r w:rsidRPr="00CF0531">
        <w:rPr>
          <w:szCs w:val="12"/>
          <w:lang w:val="it-IT"/>
        </w:rPr>
        <w:t xml:space="preserve">Questo aggiornamento per i media </w:t>
      </w:r>
      <w:r w:rsidRPr="00A30C90">
        <w:rPr>
          <w:rFonts w:eastAsia="Times New Roman" w:cs="Arial"/>
          <w:lang w:val="it-IT" w:eastAsia="it-IT"/>
        </w:rPr>
        <w:t>contiene dichiarazioni a carattere previsionale, secondo quanto definito dal Private Securities Litigation Reform Act del 1995 degli Stati Uniti d’America.</w:t>
      </w:r>
    </w:p>
    <w:p w14:paraId="69B91F86" w14:textId="6B68DD99" w:rsidR="006678B3" w:rsidRPr="00A30C90" w:rsidRDefault="00761CF2" w:rsidP="006678B3">
      <w:pPr>
        <w:jc w:val="both"/>
        <w:rPr>
          <w:rFonts w:eastAsia="Times New Roman" w:cs="Arial"/>
          <w:lang w:val="it-IT" w:eastAsia="it-IT"/>
        </w:rPr>
      </w:pPr>
      <w:r w:rsidRPr="00CF0531">
        <w:rPr>
          <w:szCs w:val="12"/>
          <w:lang w:val="it-IT"/>
        </w:rPr>
        <w:t>Le dichiarazioni possono generalmente essere identificate da parole come “potenziale,” “sarà,”  “sarebbe,” “anticipato,” “credere,” “dedicato,” “impegnato,” “investigativo,” “valutando,” “promettente,” “ambizione,” “opportunità,” “prossimo,” “perseguendo,” “in corso,” “per garantire,” “intendere,” “presentare,” o termini simili</w:t>
      </w:r>
      <w:r w:rsidRPr="00CF0531">
        <w:rPr>
          <w:lang w:val="it-IT"/>
        </w:rPr>
        <w:t xml:space="preserve">, o da discussioni espresse o implicite relative alle potenziali approvazioni commerciali, nuove indicazioni o etichettatura </w:t>
      </w:r>
      <w:r w:rsidRPr="00CF0531">
        <w:rPr>
          <w:vertAlign w:val="superscript"/>
          <w:lang w:val="it-IT"/>
        </w:rPr>
        <w:t>177</w:t>
      </w:r>
      <w:r w:rsidRPr="00CF0531">
        <w:rPr>
          <w:lang w:val="it-IT"/>
        </w:rPr>
        <w:t xml:space="preserve">Lu-PSMA-617, o potenziali future entrate da </w:t>
      </w:r>
      <w:r w:rsidRPr="00CF0531">
        <w:rPr>
          <w:vertAlign w:val="superscript"/>
          <w:lang w:val="it-IT"/>
        </w:rPr>
        <w:t>177</w:t>
      </w:r>
      <w:r w:rsidRPr="00CF0531">
        <w:rPr>
          <w:lang w:val="it-IT"/>
        </w:rPr>
        <w:t xml:space="preserve">Lu-PSMA-617. </w:t>
      </w:r>
      <w:r w:rsidRPr="00A30C90">
        <w:rPr>
          <w:rFonts w:eastAsia="Times New Roman" w:cs="Arial"/>
          <w:lang w:val="it-IT" w:eastAsia="it-IT"/>
        </w:rPr>
        <w:t>Non si deve fare affidamento indebito su queste affermazioni.</w:t>
      </w:r>
      <w:r w:rsidRPr="00CF0531">
        <w:rPr>
          <w:lang w:val="it-IT"/>
        </w:rPr>
        <w:t xml:space="preserve"> Si basano sulle nostre attuali convi</w:t>
      </w:r>
      <w:r w:rsidR="001E0473">
        <w:rPr>
          <w:lang w:val="it-IT"/>
        </w:rPr>
        <w:t>n</w:t>
      </w:r>
      <w:r w:rsidRPr="00CF0531">
        <w:rPr>
          <w:lang w:val="it-IT"/>
        </w:rPr>
        <w:t xml:space="preserve">zioni e </w:t>
      </w:r>
      <w:r w:rsidR="004C6C28">
        <w:rPr>
          <w:lang w:val="it-IT"/>
        </w:rPr>
        <w:t>a</w:t>
      </w:r>
      <w:r w:rsidRPr="00CF0531">
        <w:rPr>
          <w:lang w:val="it-IT"/>
        </w:rPr>
        <w:t>spettative sugli eventi futuri, e sono soggette a rischi e incertezze conosciuti e sconosciuti. Se uno o più rischi o incertezze si dovessero verificare, o se le ipotesi di base dovessero rivelarsi errate, i risultati effettivi potrebbero variare sostanzialmente rispetto a quelli indicati nelle dichiarazioni previsionali. Non è possib</w:t>
      </w:r>
      <w:r w:rsidR="001E0473">
        <w:rPr>
          <w:lang w:val="it-IT"/>
        </w:rPr>
        <w:t>i</w:t>
      </w:r>
      <w:r w:rsidRPr="00CF0531">
        <w:rPr>
          <w:lang w:val="it-IT"/>
        </w:rPr>
        <w:t xml:space="preserve">le garantire che </w:t>
      </w:r>
      <w:r w:rsidRPr="00CF0531">
        <w:rPr>
          <w:vertAlign w:val="superscript"/>
          <w:lang w:val="it-IT"/>
        </w:rPr>
        <w:t>177</w:t>
      </w:r>
      <w:r w:rsidRPr="00CF0531">
        <w:rPr>
          <w:lang w:val="it-IT"/>
        </w:rPr>
        <w:t xml:space="preserve">Lu-PSMA-617 verrà presentato o approvato per la vendita o per indicazioni aggiuntive o per etichettatura in qualsiasi mercato, o in un momento particolare. Non si può garantire che </w:t>
      </w:r>
      <w:r w:rsidRPr="00CF0531">
        <w:rPr>
          <w:vertAlign w:val="superscript"/>
          <w:lang w:val="it-IT"/>
        </w:rPr>
        <w:t>177</w:t>
      </w:r>
      <w:r w:rsidRPr="00CF0531">
        <w:rPr>
          <w:lang w:val="it-IT"/>
        </w:rPr>
        <w:t xml:space="preserve">Lu-PSMA-617 avrà successo commerciale in futuro. In particolare, le nostre aspettative nei confronti di </w:t>
      </w:r>
      <w:r w:rsidRPr="00CF0531">
        <w:rPr>
          <w:vertAlign w:val="superscript"/>
          <w:lang w:val="it-IT"/>
        </w:rPr>
        <w:t>177</w:t>
      </w:r>
      <w:r w:rsidRPr="00CF0531">
        <w:rPr>
          <w:lang w:val="it-IT"/>
        </w:rPr>
        <w:t>Lu-PSMA-617 potrebbero essere influenzate, tra le altre cose, da incertezze inerenti la ricerca e lo sviluppo, compresi i risultati degli studi clinici e le ulteriori analisi dei dati clinici già esistenti; azioni o ritardi normativi o regolamenti governativi in generale; tendenze globali al contenimento dei costi dell’assistenza sanitaria, comprese le pressioni sui prezzi e sui rimborsi da parte del governo, dei pa</w:t>
      </w:r>
      <w:r w:rsidR="006678B3" w:rsidRPr="00CF0531">
        <w:rPr>
          <w:lang w:val="it-IT"/>
        </w:rPr>
        <w:t>yor</w:t>
      </w:r>
      <w:r w:rsidRPr="00CF0531">
        <w:rPr>
          <w:lang w:val="it-IT"/>
        </w:rPr>
        <w:t xml:space="preserve"> e del pubblico generale e le richieste di maggiore trasparenza dei prezzi; la nostra capacità di ottenere o mantenere la  protezione della proprietà intellettuale; le particolari preferenze di prescrizione dei medici e dei pazienti; condizioni generali politiche, economiche e commerciali, compresi gli effetti e gli sforzi per limitare le malattie dovute alla pandemia come COVID-19; sicurezza, qualità, integrità dei dati o problemi di produzione; sicurezza potenziale o effettiva dei dati e violazione della privacy, o interruzione dei nostri sistemi informatici, e altri rischi e fattori cui si fa riferimento </w:t>
      </w:r>
      <w:r w:rsidR="006678B3" w:rsidRPr="00A30C90">
        <w:rPr>
          <w:rFonts w:eastAsia="Times New Roman" w:cs="Arial"/>
          <w:lang w:val="it-IT" w:eastAsia="it-IT"/>
        </w:rPr>
        <w:t>nel Modulo 20-F di Novartis AG aggiornato, depositato presso la SEC (Securities and Exchange Commission).</w:t>
      </w:r>
      <w:r w:rsidR="006678B3" w:rsidRPr="00CF0531">
        <w:rPr>
          <w:lang w:val="it-IT"/>
        </w:rPr>
        <w:t xml:space="preserve"> </w:t>
      </w:r>
      <w:r w:rsidR="006678B3" w:rsidRPr="00A30C90">
        <w:rPr>
          <w:rFonts w:eastAsia="Times New Roman" w:cs="Arial"/>
          <w:lang w:val="it-IT" w:eastAsia="it-IT"/>
        </w:rPr>
        <w:t xml:space="preserve">Novartis fornisce queste informazioni, per mezzo del presente comunicato stampa, con validità alla data odierna e non si assume l’obbligo di aggiornare alcuna affermazione a carattere previsionale contenuta nel presente comunicato stampa anche a seguito di nuove informazioni, di eventi futuri o altro.    </w:t>
      </w:r>
    </w:p>
    <w:p w14:paraId="7DFB527C" w14:textId="77777777" w:rsidR="00761CF2" w:rsidRPr="00CF0531" w:rsidRDefault="00761CF2" w:rsidP="00457492">
      <w:pPr>
        <w:spacing w:line="0" w:lineRule="atLeast"/>
        <w:jc w:val="both"/>
        <w:rPr>
          <w:sz w:val="32"/>
          <w:szCs w:val="32"/>
          <w:lang w:val="it-IT"/>
        </w:rPr>
      </w:pPr>
    </w:p>
    <w:p w14:paraId="23315302" w14:textId="77777777" w:rsidR="00DE31F6" w:rsidRPr="00917612" w:rsidRDefault="00DE31F6" w:rsidP="00DE31F6">
      <w:pPr>
        <w:jc w:val="both"/>
        <w:rPr>
          <w:rFonts w:cs="Arial"/>
          <w:b/>
          <w:bCs/>
          <w:lang w:val="it-IT"/>
        </w:rPr>
      </w:pPr>
      <w:r w:rsidRPr="00917612">
        <w:rPr>
          <w:rFonts w:cs="Arial"/>
          <w:b/>
          <w:bCs/>
          <w:lang w:val="it-IT"/>
        </w:rPr>
        <w:t>Novartis</w:t>
      </w:r>
    </w:p>
    <w:p w14:paraId="364A4BFE" w14:textId="77777777" w:rsidR="00DE31F6" w:rsidRPr="00917612" w:rsidRDefault="00DE31F6" w:rsidP="00DE31F6">
      <w:pPr>
        <w:autoSpaceDE w:val="0"/>
        <w:autoSpaceDN w:val="0"/>
        <w:adjustRightInd w:val="0"/>
        <w:spacing w:line="240" w:lineRule="auto"/>
        <w:jc w:val="both"/>
        <w:rPr>
          <w:rFonts w:cs="Arial"/>
          <w:lang w:val="it-IT"/>
        </w:rPr>
      </w:pPr>
      <w:r w:rsidRPr="00917612">
        <w:rPr>
          <w:rFonts w:cs="Arial"/>
          <w:lang w:val="it-IT"/>
        </w:rPr>
        <w:t>Novartis sta interpretando in modo nuovo la medicina allo scopo di migliorare e prolungare la vita delle persone. Come azienda tra i leader a livello globale nel settore farmaceutico,</w:t>
      </w:r>
      <w:r>
        <w:rPr>
          <w:rFonts w:cs="Arial"/>
          <w:lang w:val="it-IT"/>
        </w:rPr>
        <w:t xml:space="preserve"> </w:t>
      </w:r>
      <w:r w:rsidRPr="00917612">
        <w:rPr>
          <w:rFonts w:cs="Arial"/>
          <w:lang w:val="it-IT"/>
        </w:rPr>
        <w:t>utilizziamo tecnologie scientifiche e digitali innovative per creare terapie trasformative in aree che presentano importanti bisogni medici. Impegnati a scoprire nuovi farmaci, siamo</w:t>
      </w:r>
      <w:r>
        <w:rPr>
          <w:rFonts w:cs="Arial"/>
          <w:lang w:val="it-IT"/>
        </w:rPr>
        <w:t xml:space="preserve"> </w:t>
      </w:r>
      <w:r w:rsidRPr="00917612">
        <w:rPr>
          <w:rFonts w:cs="Arial"/>
          <w:lang w:val="it-IT"/>
        </w:rPr>
        <w:t>stabilmente tra le prime aziende al mondo negli investimenti in ricerca e sviluppo. I prodotti</w:t>
      </w:r>
      <w:r>
        <w:rPr>
          <w:rFonts w:cs="Arial"/>
          <w:lang w:val="it-IT"/>
        </w:rPr>
        <w:t xml:space="preserve"> </w:t>
      </w:r>
      <w:r w:rsidRPr="00917612">
        <w:rPr>
          <w:rFonts w:cs="Arial"/>
          <w:lang w:val="it-IT"/>
        </w:rPr>
        <w:t>Novartis raggiungono più di 800 milioni di persone su scala globale e lavoriamo per individuare modi innovativi per espandere l</w:t>
      </w:r>
      <w:r>
        <w:rPr>
          <w:rFonts w:cs="Arial"/>
          <w:lang w:val="it-IT"/>
        </w:rPr>
        <w:t>’</w:t>
      </w:r>
      <w:r w:rsidRPr="00917612">
        <w:rPr>
          <w:rFonts w:cs="Arial"/>
          <w:lang w:val="it-IT"/>
        </w:rPr>
        <w:t xml:space="preserve">accesso ai nostri trattamenti più recenti. A livello mondiale, circa </w:t>
      </w:r>
      <w:r>
        <w:rPr>
          <w:rFonts w:cs="Arial"/>
          <w:lang w:val="it-IT"/>
        </w:rPr>
        <w:lastRenderedPageBreak/>
        <w:t>109.</w:t>
      </w:r>
      <w:r w:rsidRPr="00917612">
        <w:rPr>
          <w:rFonts w:cs="Arial"/>
          <w:lang w:val="it-IT"/>
        </w:rPr>
        <w:t>000 persone di 145 diverse nazionalità lavorano in Novartis. Ulteriori informazioni su www.novartis.it e www.novartis.com. @NovartisItalia è anche su Twitter</w:t>
      </w:r>
      <w:r>
        <w:rPr>
          <w:rFonts w:cs="Arial"/>
          <w:lang w:val="it-IT"/>
        </w:rPr>
        <w:t>,</w:t>
      </w:r>
      <w:r w:rsidRPr="00917612">
        <w:rPr>
          <w:rFonts w:cs="Arial"/>
          <w:lang w:val="it-IT"/>
        </w:rPr>
        <w:t xml:space="preserve"> LinkedIn</w:t>
      </w:r>
      <w:r>
        <w:rPr>
          <w:rFonts w:cs="Arial"/>
          <w:lang w:val="it-IT"/>
        </w:rPr>
        <w:t xml:space="preserve"> e alleatiperlasalute.it</w:t>
      </w:r>
    </w:p>
    <w:p w14:paraId="5B522810" w14:textId="77777777" w:rsidR="00DE31F6" w:rsidRPr="00917612" w:rsidRDefault="00DE31F6" w:rsidP="00DE31F6">
      <w:pPr>
        <w:jc w:val="both"/>
        <w:rPr>
          <w:rFonts w:cs="Arial"/>
          <w:bCs/>
          <w:color w:val="FF0000"/>
          <w:lang w:val="it-IT"/>
        </w:rPr>
      </w:pPr>
    </w:p>
    <w:p w14:paraId="79D7D104" w14:textId="77777777" w:rsidR="00DE31F6" w:rsidRPr="00917612" w:rsidRDefault="00DE31F6" w:rsidP="00DE31F6">
      <w:pPr>
        <w:jc w:val="both"/>
        <w:rPr>
          <w:rFonts w:cs="Arial"/>
          <w:b/>
          <w:bCs/>
          <w:lang w:val="it-IT"/>
        </w:rPr>
      </w:pPr>
      <w:r w:rsidRPr="00917612">
        <w:rPr>
          <w:rFonts w:cs="Arial"/>
          <w:b/>
          <w:bCs/>
          <w:lang w:val="it-IT"/>
        </w:rPr>
        <w:t>Novartis in Italia</w:t>
      </w:r>
    </w:p>
    <w:p w14:paraId="677A732C" w14:textId="77777777" w:rsidR="00DE31F6" w:rsidRDefault="00DE31F6" w:rsidP="00DE31F6">
      <w:pPr>
        <w:autoSpaceDE w:val="0"/>
        <w:autoSpaceDN w:val="0"/>
        <w:adjustRightInd w:val="0"/>
        <w:spacing w:line="240" w:lineRule="auto"/>
        <w:jc w:val="both"/>
        <w:rPr>
          <w:rFonts w:cs="Arial"/>
          <w:bCs/>
          <w:lang w:val="it-IT"/>
        </w:rPr>
      </w:pPr>
      <w:r>
        <w:rPr>
          <w:rFonts w:cs="Arial"/>
          <w:color w:val="212121"/>
          <w:lang w:val="it-IT"/>
        </w:rPr>
        <w:t>Con circa 2</w:t>
      </w:r>
      <w:r w:rsidRPr="00917612">
        <w:rPr>
          <w:rFonts w:cs="Arial"/>
          <w:color w:val="212121"/>
          <w:lang w:val="it-IT"/>
        </w:rPr>
        <w:t>200 dipendenti, in Italia Novartis è una delle maggiori aziende del settore</w:t>
      </w:r>
      <w:r>
        <w:rPr>
          <w:rFonts w:cs="Arial"/>
          <w:color w:val="212121"/>
          <w:lang w:val="it-IT"/>
        </w:rPr>
        <w:t xml:space="preserve"> f</w:t>
      </w:r>
      <w:r w:rsidRPr="00917612">
        <w:rPr>
          <w:rFonts w:cs="Arial"/>
          <w:color w:val="212121"/>
          <w:lang w:val="it-IT"/>
        </w:rPr>
        <w:t>armaceutico, con una solida leadership nell</w:t>
      </w:r>
      <w:r>
        <w:rPr>
          <w:rFonts w:cs="Arial"/>
          <w:color w:val="212121"/>
          <w:lang w:val="it-IT"/>
        </w:rPr>
        <w:t>’</w:t>
      </w:r>
      <w:r w:rsidRPr="00917612">
        <w:rPr>
          <w:rFonts w:cs="Arial"/>
          <w:color w:val="212121"/>
          <w:lang w:val="it-IT"/>
        </w:rPr>
        <w:t>ambito delle terapie più innovative e in quello dei</w:t>
      </w:r>
      <w:r>
        <w:rPr>
          <w:rFonts w:cs="Arial"/>
          <w:color w:val="212121"/>
          <w:lang w:val="it-IT"/>
        </w:rPr>
        <w:t xml:space="preserve"> </w:t>
      </w:r>
      <w:r w:rsidRPr="00917612">
        <w:rPr>
          <w:rFonts w:cs="Arial"/>
          <w:color w:val="212121"/>
          <w:lang w:val="it-IT"/>
        </w:rPr>
        <w:t>farmaci equivalenti e biosimilari. Nel panorama nazionale è tra le aziende maggiormente</w:t>
      </w:r>
      <w:r>
        <w:rPr>
          <w:rFonts w:cs="Arial"/>
          <w:color w:val="212121"/>
          <w:lang w:val="it-IT"/>
        </w:rPr>
        <w:t xml:space="preserve"> </w:t>
      </w:r>
      <w:r w:rsidRPr="00917612">
        <w:rPr>
          <w:rFonts w:cs="Arial"/>
          <w:color w:val="212121"/>
          <w:lang w:val="it-IT"/>
        </w:rPr>
        <w:t>impegnate nella Ricerca &amp; Sviluppo, in particolare nelle attività di sviluppo clinico, area nella</w:t>
      </w:r>
      <w:r>
        <w:rPr>
          <w:rFonts w:cs="Arial"/>
          <w:color w:val="212121"/>
          <w:lang w:val="it-IT"/>
        </w:rPr>
        <w:t xml:space="preserve"> </w:t>
      </w:r>
      <w:r w:rsidRPr="00917612">
        <w:rPr>
          <w:rFonts w:cs="Arial"/>
          <w:color w:val="212121"/>
          <w:lang w:val="it-IT"/>
        </w:rPr>
        <w:t>quale ha investito oltre 200 milioni di euro nell</w:t>
      </w:r>
      <w:r>
        <w:rPr>
          <w:rFonts w:cs="Arial"/>
          <w:color w:val="212121"/>
          <w:lang w:val="it-IT"/>
        </w:rPr>
        <w:t>’</w:t>
      </w:r>
      <w:r w:rsidRPr="00917612">
        <w:rPr>
          <w:rFonts w:cs="Arial"/>
          <w:color w:val="212121"/>
          <w:lang w:val="it-IT"/>
        </w:rPr>
        <w:t>ultimo triennio, e un</w:t>
      </w:r>
      <w:r>
        <w:rPr>
          <w:rFonts w:cs="Arial"/>
          <w:color w:val="212121"/>
          <w:lang w:val="it-IT"/>
        </w:rPr>
        <w:t>’</w:t>
      </w:r>
      <w:r w:rsidRPr="00917612">
        <w:rPr>
          <w:rFonts w:cs="Arial"/>
          <w:color w:val="212121"/>
          <w:lang w:val="it-IT"/>
        </w:rPr>
        <w:t>importante realtà industriale,</w:t>
      </w:r>
      <w:r>
        <w:rPr>
          <w:rFonts w:cs="Arial"/>
          <w:color w:val="212121"/>
          <w:lang w:val="it-IT"/>
        </w:rPr>
        <w:t xml:space="preserve"> </w:t>
      </w:r>
      <w:r w:rsidRPr="00917612">
        <w:rPr>
          <w:rFonts w:cs="Arial"/>
          <w:color w:val="212121"/>
          <w:lang w:val="it-IT"/>
        </w:rPr>
        <w:t>fortemente orientata all</w:t>
      </w:r>
      <w:r>
        <w:rPr>
          <w:rFonts w:cs="Arial"/>
          <w:color w:val="212121"/>
          <w:lang w:val="it-IT"/>
        </w:rPr>
        <w:t>’</w:t>
      </w:r>
      <w:r w:rsidRPr="00917612">
        <w:rPr>
          <w:rFonts w:cs="Arial"/>
          <w:color w:val="212121"/>
          <w:lang w:val="it-IT"/>
        </w:rPr>
        <w:t>export.</w:t>
      </w:r>
    </w:p>
    <w:p w14:paraId="708A45A4" w14:textId="77777777" w:rsidR="00457492" w:rsidRPr="00CF0531" w:rsidRDefault="00457492" w:rsidP="00457492">
      <w:pPr>
        <w:rPr>
          <w:lang w:val="it-IT"/>
        </w:rPr>
      </w:pPr>
    </w:p>
    <w:p w14:paraId="039E9FB0" w14:textId="77777777" w:rsidR="00F972B7" w:rsidRPr="006A4962" w:rsidRDefault="005D2409" w:rsidP="00F972B7">
      <w:pPr>
        <w:pStyle w:val="Subhead"/>
      </w:pPr>
      <w:r>
        <w:t>Note</w:t>
      </w:r>
    </w:p>
    <w:p w14:paraId="344ADD2C" w14:textId="77777777" w:rsidR="005A6104" w:rsidRPr="006A4962" w:rsidRDefault="005A6104" w:rsidP="005A6104">
      <w:pPr>
        <w:pStyle w:val="Paragrafoelenco"/>
        <w:numPr>
          <w:ilvl w:val="0"/>
          <w:numId w:val="4"/>
        </w:numPr>
        <w:ind w:left="357" w:hanging="357"/>
        <w:rPr>
          <w:sz w:val="16"/>
          <w:szCs w:val="16"/>
        </w:rPr>
      </w:pPr>
      <w:r w:rsidRPr="006A4962">
        <w:rPr>
          <w:sz w:val="16"/>
          <w:szCs w:val="16"/>
        </w:rPr>
        <w:t>Novartis Data on File</w:t>
      </w:r>
    </w:p>
    <w:p w14:paraId="3713A060" w14:textId="77777777" w:rsidR="005A6104" w:rsidRPr="002B5307" w:rsidRDefault="005A6104" w:rsidP="005A6104">
      <w:pPr>
        <w:pStyle w:val="Paragrafoelenco"/>
        <w:numPr>
          <w:ilvl w:val="0"/>
          <w:numId w:val="4"/>
        </w:numPr>
        <w:rPr>
          <w:sz w:val="16"/>
          <w:szCs w:val="16"/>
        </w:rPr>
      </w:pPr>
      <w:r w:rsidRPr="00E3689B">
        <w:rPr>
          <w:sz w:val="16"/>
          <w:szCs w:val="16"/>
        </w:rPr>
        <w:t xml:space="preserve">SEER. </w:t>
      </w:r>
      <w:r w:rsidRPr="002B5307">
        <w:rPr>
          <w:sz w:val="16"/>
          <w:szCs w:val="16"/>
        </w:rPr>
        <w:t xml:space="preserve">Cancer stat facts: prostate cancer </w:t>
      </w:r>
      <w:r>
        <w:rPr>
          <w:sz w:val="16"/>
          <w:szCs w:val="16"/>
        </w:rPr>
        <w:t>April</w:t>
      </w:r>
      <w:r w:rsidRPr="002B5307">
        <w:rPr>
          <w:sz w:val="16"/>
          <w:szCs w:val="16"/>
        </w:rPr>
        <w:t xml:space="preserve"> 2021. [https://seer.cancer.gov/statfacts/html/prost.html]</w:t>
      </w:r>
    </w:p>
    <w:p w14:paraId="06FC4FFB" w14:textId="77777777" w:rsidR="005A6104" w:rsidRPr="006A4962" w:rsidRDefault="005A6104" w:rsidP="005A6104">
      <w:pPr>
        <w:pStyle w:val="Testocommento"/>
        <w:numPr>
          <w:ilvl w:val="0"/>
          <w:numId w:val="4"/>
        </w:numPr>
        <w:spacing w:line="240" w:lineRule="atLeast"/>
        <w:ind w:left="357" w:hanging="357"/>
        <w:contextualSpacing/>
        <w:rPr>
          <w:sz w:val="16"/>
          <w:szCs w:val="16"/>
        </w:rPr>
      </w:pPr>
      <w:r w:rsidRPr="006A4962">
        <w:rPr>
          <w:sz w:val="16"/>
          <w:szCs w:val="16"/>
        </w:rPr>
        <w:t xml:space="preserve">Hupe MC, Philippi C, Roth D, </w:t>
      </w:r>
      <w:r w:rsidRPr="006A4962">
        <w:rPr>
          <w:i/>
          <w:iCs/>
          <w:sz w:val="16"/>
          <w:szCs w:val="16"/>
        </w:rPr>
        <w:t>et al.</w:t>
      </w:r>
      <w:r w:rsidRPr="006A4962">
        <w:rPr>
          <w:sz w:val="16"/>
          <w:szCs w:val="16"/>
        </w:rPr>
        <w:t xml:space="preserve"> Expression of prostate-specific membrane antigen (PSMA) on biopsies is an independent risk stratifier of prostate cancer patients at time of initial diagnosis. </w:t>
      </w:r>
      <w:r w:rsidRPr="006A4962">
        <w:rPr>
          <w:i/>
          <w:iCs/>
          <w:sz w:val="16"/>
          <w:szCs w:val="16"/>
        </w:rPr>
        <w:t>Front Oncol</w:t>
      </w:r>
      <w:r w:rsidRPr="006A4962">
        <w:rPr>
          <w:sz w:val="16"/>
          <w:szCs w:val="16"/>
        </w:rPr>
        <w:t xml:space="preserve"> 2018;8:623</w:t>
      </w:r>
    </w:p>
    <w:p w14:paraId="18950024" w14:textId="77777777" w:rsidR="005A6104" w:rsidRPr="006A4962" w:rsidRDefault="005A6104" w:rsidP="005A6104">
      <w:pPr>
        <w:pStyle w:val="Testocommento"/>
        <w:numPr>
          <w:ilvl w:val="0"/>
          <w:numId w:val="4"/>
        </w:numPr>
        <w:spacing w:line="240" w:lineRule="atLeast"/>
        <w:ind w:left="357" w:hanging="357"/>
        <w:contextualSpacing/>
        <w:rPr>
          <w:sz w:val="16"/>
          <w:szCs w:val="16"/>
        </w:rPr>
      </w:pPr>
      <w:r w:rsidRPr="00774AF2">
        <w:rPr>
          <w:sz w:val="16"/>
          <w:szCs w:val="16"/>
        </w:rPr>
        <w:t xml:space="preserve">Bostwick DG, Pacelli A, Blute M, et al. </w:t>
      </w:r>
      <w:r w:rsidRPr="006A4962">
        <w:rPr>
          <w:sz w:val="16"/>
          <w:szCs w:val="16"/>
        </w:rPr>
        <w:t xml:space="preserve">Prostate specific membrane antigen expression in prostatic intraepithelial neoplasia and adenocarcinoma: a study of 184 cases. </w:t>
      </w:r>
      <w:r w:rsidRPr="006A4962">
        <w:rPr>
          <w:i/>
          <w:iCs/>
          <w:sz w:val="16"/>
          <w:szCs w:val="16"/>
        </w:rPr>
        <w:t>Cancer</w:t>
      </w:r>
      <w:r w:rsidRPr="006A4962">
        <w:rPr>
          <w:sz w:val="16"/>
          <w:szCs w:val="16"/>
        </w:rPr>
        <w:t xml:space="preserve"> 1998;82(11):2256–61</w:t>
      </w:r>
    </w:p>
    <w:p w14:paraId="27332226" w14:textId="77777777" w:rsidR="005A6104" w:rsidRDefault="005A6104" w:rsidP="005A6104">
      <w:pPr>
        <w:pStyle w:val="Paragrafoelenco"/>
        <w:numPr>
          <w:ilvl w:val="0"/>
          <w:numId w:val="4"/>
        </w:numPr>
        <w:ind w:left="357" w:hanging="357"/>
        <w:rPr>
          <w:sz w:val="16"/>
          <w:szCs w:val="16"/>
        </w:rPr>
      </w:pPr>
      <w:r w:rsidRPr="00774AF2">
        <w:rPr>
          <w:sz w:val="16"/>
          <w:szCs w:val="16"/>
          <w:lang w:val="fr-CH"/>
        </w:rPr>
        <w:t xml:space="preserve">Pomykala KL, Czernin J, Grogan TR, et al. </w:t>
      </w:r>
      <w:r w:rsidRPr="0012225F">
        <w:rPr>
          <w:sz w:val="16"/>
          <w:szCs w:val="16"/>
        </w:rPr>
        <w:t>Total</w:t>
      </w:r>
      <w:r w:rsidRPr="006A4962">
        <w:rPr>
          <w:sz w:val="16"/>
          <w:szCs w:val="16"/>
        </w:rPr>
        <w:t xml:space="preserve">-body </w:t>
      </w:r>
      <w:r w:rsidRPr="006A4962">
        <w:rPr>
          <w:sz w:val="16"/>
          <w:szCs w:val="16"/>
          <w:vertAlign w:val="superscript"/>
        </w:rPr>
        <w:t>68</w:t>
      </w:r>
      <w:r w:rsidRPr="006A4962">
        <w:rPr>
          <w:sz w:val="16"/>
          <w:szCs w:val="16"/>
        </w:rPr>
        <w:t xml:space="preserve">Ga-PSMA-11 PET/CT for bone metastasis detection in prostate cancer patients: potential impact on bone scan guidelines. </w:t>
      </w:r>
      <w:r w:rsidRPr="006A4962">
        <w:rPr>
          <w:i/>
          <w:iCs/>
          <w:sz w:val="16"/>
          <w:szCs w:val="16"/>
        </w:rPr>
        <w:t>J Nucl Med</w:t>
      </w:r>
      <w:r w:rsidRPr="006A4962">
        <w:rPr>
          <w:sz w:val="16"/>
          <w:szCs w:val="16"/>
        </w:rPr>
        <w:t xml:space="preserve"> 2020;61(3):405–11</w:t>
      </w:r>
    </w:p>
    <w:p w14:paraId="6FB1C0B4" w14:textId="77777777" w:rsidR="005A6104" w:rsidRDefault="005A6104" w:rsidP="005A6104">
      <w:pPr>
        <w:pStyle w:val="Testocommento"/>
        <w:numPr>
          <w:ilvl w:val="0"/>
          <w:numId w:val="4"/>
        </w:numPr>
        <w:spacing w:line="240" w:lineRule="atLeast"/>
        <w:contextualSpacing/>
        <w:rPr>
          <w:sz w:val="16"/>
          <w:szCs w:val="16"/>
        </w:rPr>
      </w:pPr>
      <w:r w:rsidRPr="00774AF2">
        <w:rPr>
          <w:sz w:val="16"/>
          <w:szCs w:val="16"/>
          <w:lang w:val="de-CH"/>
        </w:rPr>
        <w:t xml:space="preserve">Sant GR, Knopf KB, Albala DM. </w:t>
      </w:r>
      <w:r>
        <w:rPr>
          <w:sz w:val="16"/>
          <w:szCs w:val="16"/>
        </w:rPr>
        <w:t xml:space="preserve">Live-single-cell phenotypic cancer biomarkers-future role in precision oncology? </w:t>
      </w:r>
      <w:r w:rsidRPr="002C5550">
        <w:rPr>
          <w:i/>
          <w:iCs/>
          <w:sz w:val="16"/>
          <w:szCs w:val="16"/>
        </w:rPr>
        <w:t>NPJ Precision Oncology</w:t>
      </w:r>
      <w:r>
        <w:rPr>
          <w:sz w:val="16"/>
          <w:szCs w:val="16"/>
        </w:rPr>
        <w:t xml:space="preserve"> 2017;1(1):21</w:t>
      </w:r>
    </w:p>
    <w:p w14:paraId="113A9C60" w14:textId="77777777" w:rsidR="005A6104" w:rsidRDefault="005A6104" w:rsidP="005A6104">
      <w:pPr>
        <w:pStyle w:val="Paragrafoelenco"/>
        <w:numPr>
          <w:ilvl w:val="0"/>
          <w:numId w:val="4"/>
        </w:numPr>
        <w:spacing w:line="276" w:lineRule="auto"/>
        <w:rPr>
          <w:sz w:val="16"/>
          <w:szCs w:val="16"/>
        </w:rPr>
      </w:pPr>
      <w:r>
        <w:rPr>
          <w:sz w:val="16"/>
          <w:szCs w:val="16"/>
        </w:rPr>
        <w:t xml:space="preserve">Kirby M, Hirst C, Crawford ED. Characterising the castration-resistant prostate cancer population: a systematic review. </w:t>
      </w:r>
      <w:r>
        <w:rPr>
          <w:i/>
          <w:iCs/>
          <w:sz w:val="16"/>
          <w:szCs w:val="16"/>
        </w:rPr>
        <w:t>Int J Clin Pract</w:t>
      </w:r>
      <w:r>
        <w:rPr>
          <w:sz w:val="16"/>
          <w:szCs w:val="16"/>
        </w:rPr>
        <w:t xml:space="preserve"> 2011;65(11):1180–92</w:t>
      </w:r>
    </w:p>
    <w:p w14:paraId="108DC068" w14:textId="77777777" w:rsidR="005A6104" w:rsidRPr="00862288" w:rsidRDefault="005A6104" w:rsidP="005A6104">
      <w:pPr>
        <w:pStyle w:val="Testocommento"/>
        <w:numPr>
          <w:ilvl w:val="0"/>
          <w:numId w:val="4"/>
        </w:numPr>
        <w:spacing w:line="276" w:lineRule="auto"/>
        <w:ind w:left="357" w:hanging="357"/>
        <w:contextualSpacing/>
        <w:rPr>
          <w:sz w:val="16"/>
          <w:szCs w:val="16"/>
        </w:rPr>
      </w:pPr>
      <w:r w:rsidRPr="00862288">
        <w:rPr>
          <w:sz w:val="16"/>
          <w:szCs w:val="16"/>
          <w:lang w:val="de-CH"/>
        </w:rPr>
        <w:t>Minner S, Wittmer C, Graefen M, et al.</w:t>
      </w:r>
      <w:r w:rsidRPr="00862288">
        <w:rPr>
          <w:i/>
          <w:iCs/>
          <w:sz w:val="16"/>
          <w:szCs w:val="16"/>
          <w:lang w:val="de-CH"/>
        </w:rPr>
        <w:t xml:space="preserve"> </w:t>
      </w:r>
      <w:r w:rsidRPr="00862288">
        <w:rPr>
          <w:sz w:val="16"/>
          <w:szCs w:val="16"/>
        </w:rPr>
        <w:t xml:space="preserve">High level PSMA expression is associated with early PSA recurrence in surgically treated prostate cancer. </w:t>
      </w:r>
      <w:r w:rsidRPr="00862288">
        <w:rPr>
          <w:i/>
          <w:iCs/>
          <w:sz w:val="16"/>
          <w:szCs w:val="16"/>
        </w:rPr>
        <w:t>Prostate</w:t>
      </w:r>
      <w:r w:rsidRPr="00862288">
        <w:rPr>
          <w:sz w:val="16"/>
          <w:szCs w:val="16"/>
        </w:rPr>
        <w:t xml:space="preserve"> 2011;71(3):281–8</w:t>
      </w:r>
    </w:p>
    <w:p w14:paraId="291B0BBB" w14:textId="77777777" w:rsidR="005A6104" w:rsidRPr="006A4962" w:rsidRDefault="005A6104" w:rsidP="005A6104">
      <w:pPr>
        <w:pStyle w:val="Testocommento"/>
        <w:numPr>
          <w:ilvl w:val="0"/>
          <w:numId w:val="4"/>
        </w:numPr>
        <w:spacing w:line="276" w:lineRule="auto"/>
        <w:ind w:left="357" w:hanging="357"/>
        <w:contextualSpacing/>
        <w:rPr>
          <w:sz w:val="16"/>
          <w:szCs w:val="16"/>
        </w:rPr>
      </w:pPr>
      <w:r w:rsidRPr="00E3689B">
        <w:rPr>
          <w:sz w:val="16"/>
          <w:szCs w:val="16"/>
          <w:lang w:val="fr-CH"/>
        </w:rPr>
        <w:t xml:space="preserve">Hope TA, Aggarwal R, Chee B, et al. </w:t>
      </w:r>
      <w:r w:rsidRPr="006A4962">
        <w:rPr>
          <w:sz w:val="16"/>
          <w:szCs w:val="16"/>
        </w:rPr>
        <w:t xml:space="preserve">Impact of </w:t>
      </w:r>
      <w:r w:rsidRPr="00FB2B49">
        <w:rPr>
          <w:sz w:val="16"/>
          <w:szCs w:val="16"/>
        </w:rPr>
        <w:t>68</w:t>
      </w:r>
      <w:r w:rsidRPr="006A4962">
        <w:rPr>
          <w:sz w:val="16"/>
          <w:szCs w:val="16"/>
        </w:rPr>
        <w:t xml:space="preserve">Ga-PSMA-11 PET on management in patients with biochemically recurrent prostate cancer. </w:t>
      </w:r>
      <w:r w:rsidRPr="00FB2B49">
        <w:rPr>
          <w:sz w:val="16"/>
          <w:szCs w:val="16"/>
        </w:rPr>
        <w:t>J Nucl Med</w:t>
      </w:r>
      <w:r w:rsidRPr="006A4962">
        <w:rPr>
          <w:sz w:val="16"/>
          <w:szCs w:val="16"/>
        </w:rPr>
        <w:t xml:space="preserve"> 2017;58(12):1956–61</w:t>
      </w:r>
    </w:p>
    <w:p w14:paraId="0D9DD662" w14:textId="77777777" w:rsidR="005A6104" w:rsidRDefault="005A6104" w:rsidP="005A6104">
      <w:pPr>
        <w:pStyle w:val="Testocommento"/>
        <w:numPr>
          <w:ilvl w:val="0"/>
          <w:numId w:val="4"/>
        </w:numPr>
        <w:ind w:left="357" w:hanging="357"/>
        <w:contextualSpacing/>
        <w:rPr>
          <w:sz w:val="16"/>
          <w:szCs w:val="16"/>
        </w:rPr>
      </w:pPr>
      <w:r w:rsidRPr="00E3689B">
        <w:rPr>
          <w:sz w:val="16"/>
          <w:szCs w:val="16"/>
          <w:lang w:val="fr-CH"/>
        </w:rPr>
        <w:t xml:space="preserve">Hofman MS, Violet J, Hicks RJ et al. </w:t>
      </w:r>
      <w:r w:rsidRPr="00774C96">
        <w:rPr>
          <w:sz w:val="16"/>
          <w:szCs w:val="16"/>
        </w:rPr>
        <w:t>[</w:t>
      </w:r>
      <w:r w:rsidRPr="00FB2B49">
        <w:rPr>
          <w:sz w:val="16"/>
          <w:szCs w:val="16"/>
        </w:rPr>
        <w:t>177</w:t>
      </w:r>
      <w:r w:rsidRPr="00774C96">
        <w:rPr>
          <w:sz w:val="16"/>
          <w:szCs w:val="16"/>
        </w:rPr>
        <w:t>Lu]-PSMA-617 radionuclide treatment in patients with metastatic castration-resistant prostate cancer (LuPSMA trial): a single-centre, single-arm, phase 2 study. Lancet Oncol 2018;19(6):825–33</w:t>
      </w:r>
    </w:p>
    <w:p w14:paraId="7B363215" w14:textId="77777777" w:rsidR="005A6104" w:rsidRPr="0089262C" w:rsidRDefault="005A6104" w:rsidP="005A6104">
      <w:pPr>
        <w:numPr>
          <w:ilvl w:val="0"/>
          <w:numId w:val="4"/>
        </w:numPr>
        <w:shd w:val="clear" w:color="auto" w:fill="FFFFFF"/>
        <w:spacing w:line="276" w:lineRule="auto"/>
        <w:rPr>
          <w:sz w:val="16"/>
          <w:szCs w:val="16"/>
        </w:rPr>
      </w:pPr>
      <w:r w:rsidRPr="00A74E6B">
        <w:rPr>
          <w:sz w:val="16"/>
          <w:szCs w:val="16"/>
          <w:lang w:val="it-IT"/>
        </w:rPr>
        <w:t xml:space="preserve">Kratochwil C, Giesel FL, Stefanova M, et al. </w:t>
      </w:r>
      <w:r w:rsidRPr="009452BD">
        <w:rPr>
          <w:sz w:val="16"/>
          <w:szCs w:val="16"/>
        </w:rPr>
        <w:t>PSMA-targeted radionuclide therapy of metastatic castration-resistant prostate cancer with </w:t>
      </w:r>
      <w:r w:rsidRPr="009452BD">
        <w:rPr>
          <w:sz w:val="16"/>
          <w:szCs w:val="16"/>
          <w:vertAlign w:val="superscript"/>
        </w:rPr>
        <w:t>177</w:t>
      </w:r>
      <w:r w:rsidRPr="009452BD">
        <w:rPr>
          <w:sz w:val="16"/>
          <w:szCs w:val="16"/>
        </w:rPr>
        <w:t>Lu-labeled PSMA-617. J Nucl Med 2016;57(8):1170–6 [</w:t>
      </w:r>
      <w:hyperlink r:id="rId12" w:tgtFrame="_blank" w:history="1">
        <w:r w:rsidRPr="009452BD">
          <w:rPr>
            <w:rStyle w:val="Collegamentoipertestuale"/>
            <w:sz w:val="16"/>
            <w:szCs w:val="16"/>
          </w:rPr>
          <w:t>https://pubmed.ncbi.nlm.nih.gov/26985056/</w:t>
        </w:r>
      </w:hyperlink>
      <w:r w:rsidRPr="009452BD">
        <w:rPr>
          <w:sz w:val="16"/>
          <w:szCs w:val="16"/>
        </w:rPr>
        <w:t>]</w:t>
      </w:r>
    </w:p>
    <w:p w14:paraId="692C5094" w14:textId="77777777" w:rsidR="005A6104" w:rsidRPr="0089262C" w:rsidRDefault="005A6104" w:rsidP="005A6104">
      <w:pPr>
        <w:numPr>
          <w:ilvl w:val="0"/>
          <w:numId w:val="4"/>
        </w:numPr>
        <w:shd w:val="clear" w:color="auto" w:fill="FFFFFF"/>
        <w:spacing w:line="276" w:lineRule="auto"/>
        <w:rPr>
          <w:sz w:val="16"/>
          <w:szCs w:val="16"/>
        </w:rPr>
      </w:pPr>
      <w:r w:rsidRPr="0089262C">
        <w:rPr>
          <w:sz w:val="16"/>
          <w:szCs w:val="16"/>
        </w:rPr>
        <w:t>Eder M, Schäfer M, Bauder-Wüst U, et al. 68Ga-complex lipophilicity and the targeting property of a urea-based PSMA inhibitor for PET imaging. Bioconjug Chem 2012;23(4):688–97.</w:t>
      </w:r>
    </w:p>
    <w:p w14:paraId="641C2ED5" w14:textId="77777777" w:rsidR="005A6104" w:rsidRDefault="005A6104" w:rsidP="005A6104">
      <w:pPr>
        <w:pStyle w:val="Testocommento"/>
        <w:numPr>
          <w:ilvl w:val="0"/>
          <w:numId w:val="4"/>
        </w:numPr>
        <w:spacing w:line="276" w:lineRule="auto"/>
        <w:contextualSpacing/>
        <w:rPr>
          <w:sz w:val="16"/>
          <w:szCs w:val="16"/>
        </w:rPr>
      </w:pPr>
      <w:r w:rsidRPr="0089262C">
        <w:rPr>
          <w:sz w:val="16"/>
          <w:szCs w:val="16"/>
        </w:rPr>
        <w:t>Benešová M, Schäfer M, Bauder-Wüst U, et al. Preclinical evaluation of a tailor-made DOTA-conjugated PSMA inhibitor with optimized linker moiety for imaging and endoradiotherapy of prostate cancer. J Nucl Med 2015;56(6):914–20</w:t>
      </w:r>
    </w:p>
    <w:p w14:paraId="283D7EE4" w14:textId="77777777" w:rsidR="005A6104" w:rsidRPr="00367C21" w:rsidRDefault="005A6104" w:rsidP="005A6104">
      <w:pPr>
        <w:pStyle w:val="Paragrafoelenco"/>
        <w:numPr>
          <w:ilvl w:val="0"/>
          <w:numId w:val="4"/>
        </w:numPr>
        <w:rPr>
          <w:sz w:val="16"/>
          <w:szCs w:val="16"/>
        </w:rPr>
      </w:pPr>
      <w:r w:rsidRPr="00A637C8">
        <w:rPr>
          <w:sz w:val="16"/>
          <w:szCs w:val="16"/>
        </w:rPr>
        <w:t>Haberkorn U, Eder M, Kopka K, et al. New Strategies in Prostate Cancer: Prostate-Specific Membrane Antigen (PSMA) Ligands for Diagnosis and Therapy. Clin Cancer Res 22(1):9-15.2016</w:t>
      </w:r>
    </w:p>
    <w:p w14:paraId="5A39BEAD" w14:textId="77777777" w:rsidR="005A6104" w:rsidRPr="00543EC7" w:rsidRDefault="005A6104" w:rsidP="005A6104">
      <w:pPr>
        <w:pStyle w:val="Paragrafoelenco"/>
        <w:numPr>
          <w:ilvl w:val="0"/>
          <w:numId w:val="4"/>
        </w:numPr>
        <w:ind w:left="357" w:hanging="357"/>
        <w:rPr>
          <w:sz w:val="16"/>
          <w:szCs w:val="16"/>
        </w:rPr>
      </w:pPr>
      <w:r w:rsidRPr="00DD0C54">
        <w:rPr>
          <w:sz w:val="16"/>
          <w:szCs w:val="16"/>
          <w:lang w:val="fr-CH"/>
        </w:rPr>
        <w:t xml:space="preserve">Violet J, Jackson P, Ferdinandus J et al. </w:t>
      </w:r>
      <w:r w:rsidRPr="00543EC7">
        <w:rPr>
          <w:sz w:val="16"/>
          <w:szCs w:val="16"/>
        </w:rPr>
        <w:t>Dosimetry of (</w:t>
      </w:r>
      <w:r>
        <w:rPr>
          <w:sz w:val="16"/>
          <w:szCs w:val="16"/>
        </w:rPr>
        <w:t>177</w:t>
      </w:r>
      <w:r w:rsidRPr="00543EC7">
        <w:rPr>
          <w:sz w:val="16"/>
          <w:szCs w:val="16"/>
        </w:rPr>
        <w:t>)Lu-PSMA-617 in metastatic castration-resistant prostate cancer: correlations between pretherapeutic imaging and whole-body tumor dosimetry with treatment outcomes. J Nucl Med 2019;60(4):517–23</w:t>
      </w:r>
    </w:p>
    <w:p w14:paraId="7454E87B" w14:textId="77777777" w:rsidR="005A6104" w:rsidRPr="00543EC7" w:rsidRDefault="005A6104" w:rsidP="005A6104">
      <w:pPr>
        <w:pStyle w:val="Testocommento"/>
        <w:numPr>
          <w:ilvl w:val="0"/>
          <w:numId w:val="4"/>
        </w:numPr>
        <w:spacing w:line="276" w:lineRule="auto"/>
        <w:contextualSpacing/>
        <w:rPr>
          <w:sz w:val="16"/>
          <w:szCs w:val="16"/>
        </w:rPr>
      </w:pPr>
      <w:r w:rsidRPr="00DD0C54">
        <w:rPr>
          <w:sz w:val="16"/>
          <w:szCs w:val="16"/>
          <w:lang w:val="fr-CH"/>
        </w:rPr>
        <w:t xml:space="preserve">Current K, Meyer C, Magyar CE et al. </w:t>
      </w:r>
      <w:r w:rsidRPr="00543EC7">
        <w:rPr>
          <w:sz w:val="16"/>
          <w:szCs w:val="16"/>
        </w:rPr>
        <w:t>Investigating PSMA-targeted radioligand therapy efficacy as a function of cellular PSMA levels and intra-tumoral PSMA heterogeneity. Clin Cancer Res 2020;26(12):2946–55.</w:t>
      </w:r>
    </w:p>
    <w:p w14:paraId="7867BDA0" w14:textId="77777777" w:rsidR="005A6104" w:rsidRPr="00E555EF" w:rsidRDefault="005A6104" w:rsidP="005A6104">
      <w:pPr>
        <w:pStyle w:val="Testocommento"/>
        <w:numPr>
          <w:ilvl w:val="0"/>
          <w:numId w:val="4"/>
        </w:numPr>
        <w:spacing w:line="276" w:lineRule="auto"/>
        <w:contextualSpacing/>
        <w:rPr>
          <w:sz w:val="16"/>
          <w:szCs w:val="16"/>
        </w:rPr>
      </w:pPr>
      <w:r w:rsidRPr="00E555EF">
        <w:rPr>
          <w:sz w:val="16"/>
          <w:szCs w:val="16"/>
        </w:rPr>
        <w:t>Kassis A. Therapeutic Radionuclides: Biophysical and Radiobiologic Principles. Semin Nucl Med. 2008; 38(5): 358–366</w:t>
      </w:r>
    </w:p>
    <w:p w14:paraId="3EE2A893" w14:textId="77777777" w:rsidR="005A6104" w:rsidRPr="00E555EF" w:rsidRDefault="005A6104" w:rsidP="005A6104">
      <w:pPr>
        <w:pStyle w:val="Testocommento"/>
        <w:numPr>
          <w:ilvl w:val="0"/>
          <w:numId w:val="4"/>
        </w:numPr>
        <w:spacing w:line="276" w:lineRule="auto"/>
        <w:contextualSpacing/>
        <w:rPr>
          <w:sz w:val="16"/>
          <w:szCs w:val="16"/>
        </w:rPr>
      </w:pPr>
      <w:r w:rsidRPr="00A74E6B">
        <w:rPr>
          <w:sz w:val="16"/>
          <w:szCs w:val="16"/>
          <w:lang w:val="it-IT"/>
        </w:rPr>
        <w:t xml:space="preserve">Fendler W, Stuparu A, et al. </w:t>
      </w:r>
      <w:r w:rsidRPr="00E555EF">
        <w:rPr>
          <w:sz w:val="16"/>
          <w:szCs w:val="16"/>
        </w:rPr>
        <w:t>Establishing 177Lu-PSMA-617 Radioligand Therapy in a Syngeneic Model of Murine Prostate Cancer. J Nucl Med 2017; 58: 1786–1792</w:t>
      </w:r>
    </w:p>
    <w:p w14:paraId="1869D636" w14:textId="77777777" w:rsidR="005A6104" w:rsidRPr="00E555EF" w:rsidRDefault="005A6104" w:rsidP="005A6104">
      <w:pPr>
        <w:pStyle w:val="Testocommento"/>
        <w:numPr>
          <w:ilvl w:val="0"/>
          <w:numId w:val="4"/>
        </w:numPr>
        <w:spacing w:line="276" w:lineRule="auto"/>
        <w:contextualSpacing/>
        <w:rPr>
          <w:sz w:val="16"/>
          <w:szCs w:val="16"/>
        </w:rPr>
      </w:pPr>
      <w:r w:rsidRPr="00E555EF">
        <w:rPr>
          <w:sz w:val="16"/>
          <w:szCs w:val="16"/>
        </w:rPr>
        <w:t>Ruigrok E, van Vliet N, et al. Extensive preclinical evaluation of lutetium-177-labeled PSMA-specific tracers for prostate cancer radionuclide therapy. Eur J Nucl Med Mol Imaging. 2020; 48: 1339-1350</w:t>
      </w:r>
    </w:p>
    <w:p w14:paraId="2F4BA20C" w14:textId="77777777" w:rsidR="005A6104" w:rsidRDefault="005A6104" w:rsidP="005A6104">
      <w:pPr>
        <w:pStyle w:val="Testocommento"/>
        <w:numPr>
          <w:ilvl w:val="0"/>
          <w:numId w:val="4"/>
        </w:numPr>
        <w:spacing w:line="240" w:lineRule="atLeast"/>
        <w:ind w:left="357" w:hanging="357"/>
        <w:contextualSpacing/>
        <w:rPr>
          <w:sz w:val="16"/>
          <w:szCs w:val="16"/>
        </w:rPr>
      </w:pPr>
      <w:r w:rsidRPr="00F57A32">
        <w:rPr>
          <w:sz w:val="16"/>
          <w:szCs w:val="16"/>
        </w:rPr>
        <w:t xml:space="preserve">Sartor AO, Morris MJ, Krause BJ. VISION: an international, prospective, open-label, multicenter, randomized phase 3 study of </w:t>
      </w:r>
      <w:r w:rsidRPr="008A195A">
        <w:rPr>
          <w:sz w:val="16"/>
          <w:szCs w:val="16"/>
          <w:vertAlign w:val="superscript"/>
        </w:rPr>
        <w:t>177</w:t>
      </w:r>
      <w:r w:rsidRPr="00F57A32">
        <w:rPr>
          <w:sz w:val="16"/>
          <w:szCs w:val="16"/>
        </w:rPr>
        <w:t xml:space="preserve">Lu-PSMA-617 in the treatment of patients with progressive PSMA-positive metastatic castration-resistant prostate cancer (mCRPC). </w:t>
      </w:r>
      <w:r w:rsidRPr="00F57A32">
        <w:rPr>
          <w:i/>
          <w:iCs/>
          <w:sz w:val="16"/>
          <w:szCs w:val="16"/>
        </w:rPr>
        <w:t xml:space="preserve">J Clin Oncol </w:t>
      </w:r>
      <w:r w:rsidRPr="00F57A32">
        <w:rPr>
          <w:sz w:val="16"/>
          <w:szCs w:val="16"/>
        </w:rPr>
        <w:t>2019;37(15 suppl):TPS5099</w:t>
      </w:r>
    </w:p>
    <w:p w14:paraId="03946454" w14:textId="77777777" w:rsidR="005A6104" w:rsidRDefault="005A6104" w:rsidP="005A6104">
      <w:pPr>
        <w:pStyle w:val="Testocommento"/>
        <w:spacing w:line="276" w:lineRule="auto"/>
        <w:ind w:left="360"/>
        <w:contextualSpacing/>
        <w:rPr>
          <w:sz w:val="16"/>
          <w:szCs w:val="16"/>
        </w:rPr>
      </w:pPr>
    </w:p>
    <w:p w14:paraId="045B2A2B" w14:textId="77777777" w:rsidR="00E37C9A" w:rsidRDefault="00E37C9A" w:rsidP="00E37C9A">
      <w:pPr>
        <w:pStyle w:val="Testocommento"/>
        <w:spacing w:line="240" w:lineRule="atLeast"/>
        <w:contextualSpacing/>
        <w:rPr>
          <w:sz w:val="16"/>
          <w:szCs w:val="16"/>
        </w:rPr>
      </w:pPr>
    </w:p>
    <w:p w14:paraId="386D587D" w14:textId="77777777" w:rsidR="00F972B7" w:rsidRPr="006A4962" w:rsidRDefault="00F972B7" w:rsidP="00F972B7">
      <w:pPr>
        <w:jc w:val="center"/>
      </w:pPr>
      <w:r w:rsidRPr="006A4962">
        <w:t># # #</w:t>
      </w:r>
    </w:p>
    <w:p w14:paraId="55E874F9" w14:textId="77777777" w:rsidR="00F972B7" w:rsidRDefault="00F972B7" w:rsidP="00F972B7"/>
    <w:p w14:paraId="51DC4BD3" w14:textId="77777777" w:rsidR="007D1C88" w:rsidRPr="00300BBB" w:rsidRDefault="007D1C88" w:rsidP="007D1C88">
      <w:pPr>
        <w:tabs>
          <w:tab w:val="left" w:pos="720"/>
          <w:tab w:val="left" w:pos="1170"/>
        </w:tabs>
        <w:spacing w:line="240" w:lineRule="auto"/>
        <w:contextualSpacing/>
        <w:rPr>
          <w:rFonts w:cs="Arial"/>
          <w:b/>
          <w:sz w:val="18"/>
          <w:lang w:val="it-IT"/>
        </w:rPr>
      </w:pPr>
      <w:r w:rsidRPr="00300BBB">
        <w:rPr>
          <w:rFonts w:cs="Arial"/>
          <w:b/>
          <w:sz w:val="18"/>
          <w:lang w:val="it-IT"/>
        </w:rPr>
        <w:t>Per informazioni:</w:t>
      </w:r>
    </w:p>
    <w:p w14:paraId="0B55AF8D" w14:textId="77777777" w:rsidR="007D1C88" w:rsidRDefault="007D1C88" w:rsidP="007D1C88">
      <w:pPr>
        <w:tabs>
          <w:tab w:val="left" w:pos="720"/>
          <w:tab w:val="left" w:pos="1170"/>
        </w:tabs>
        <w:spacing w:line="240" w:lineRule="auto"/>
        <w:contextualSpacing/>
        <w:rPr>
          <w:rFonts w:cs="Arial"/>
          <w:sz w:val="18"/>
          <w:lang w:val="it-IT"/>
        </w:rPr>
      </w:pPr>
    </w:p>
    <w:p w14:paraId="18BEBDC0" w14:textId="77777777" w:rsidR="00DE31F6" w:rsidRDefault="00DE31F6" w:rsidP="00DE31F6">
      <w:pPr>
        <w:tabs>
          <w:tab w:val="left" w:pos="720"/>
          <w:tab w:val="left" w:pos="1170"/>
        </w:tabs>
        <w:spacing w:line="240" w:lineRule="auto"/>
        <w:contextualSpacing/>
        <w:rPr>
          <w:rFonts w:cs="Arial"/>
          <w:sz w:val="18"/>
          <w:lang w:val="it-IT"/>
        </w:rPr>
      </w:pPr>
      <w:r>
        <w:rPr>
          <w:rFonts w:cs="Arial"/>
          <w:sz w:val="18"/>
          <w:lang w:val="it-IT"/>
        </w:rPr>
        <w:t>Chiara Gnocchi</w:t>
      </w:r>
    </w:p>
    <w:p w14:paraId="68821BC8" w14:textId="77777777" w:rsidR="00DE31F6" w:rsidRDefault="00DE31F6" w:rsidP="00DE31F6">
      <w:pPr>
        <w:tabs>
          <w:tab w:val="left" w:pos="720"/>
          <w:tab w:val="left" w:pos="1170"/>
        </w:tabs>
        <w:spacing w:line="240" w:lineRule="auto"/>
        <w:contextualSpacing/>
        <w:rPr>
          <w:rFonts w:cs="Arial"/>
          <w:sz w:val="18"/>
          <w:lang w:val="it-IT"/>
        </w:rPr>
      </w:pPr>
      <w:r>
        <w:rPr>
          <w:rFonts w:cs="Arial"/>
          <w:sz w:val="18"/>
          <w:lang w:val="it-IT"/>
        </w:rPr>
        <w:t>Communication Lead</w:t>
      </w:r>
    </w:p>
    <w:p w14:paraId="6270A7DD" w14:textId="77777777" w:rsidR="00DE31F6" w:rsidRDefault="00DE31F6" w:rsidP="00DE31F6">
      <w:pPr>
        <w:tabs>
          <w:tab w:val="left" w:pos="720"/>
          <w:tab w:val="left" w:pos="1170"/>
        </w:tabs>
        <w:spacing w:line="240" w:lineRule="auto"/>
        <w:contextualSpacing/>
        <w:rPr>
          <w:rFonts w:cs="Arial"/>
          <w:sz w:val="18"/>
          <w:lang w:val="it-IT"/>
        </w:rPr>
      </w:pPr>
      <w:r>
        <w:rPr>
          <w:rFonts w:cs="Arial"/>
          <w:sz w:val="18"/>
          <w:lang w:val="it-IT"/>
        </w:rPr>
        <w:t>Novartis Pharma</w:t>
      </w:r>
    </w:p>
    <w:p w14:paraId="16E4ABD2" w14:textId="77777777" w:rsidR="00DE31F6" w:rsidRDefault="00DE31F6" w:rsidP="00DE31F6">
      <w:pPr>
        <w:tabs>
          <w:tab w:val="left" w:pos="720"/>
          <w:tab w:val="left" w:pos="1170"/>
        </w:tabs>
        <w:spacing w:line="240" w:lineRule="auto"/>
        <w:contextualSpacing/>
        <w:rPr>
          <w:rFonts w:cs="Arial"/>
          <w:sz w:val="18"/>
          <w:lang w:val="it-IT"/>
        </w:rPr>
      </w:pPr>
      <w:r>
        <w:rPr>
          <w:rFonts w:cs="Arial"/>
          <w:sz w:val="18"/>
          <w:lang w:val="it-IT"/>
        </w:rPr>
        <w:t>3479836649</w:t>
      </w:r>
    </w:p>
    <w:p w14:paraId="5DA0454B" w14:textId="77777777" w:rsidR="00DE31F6" w:rsidRDefault="00B83089" w:rsidP="00DE31F6">
      <w:pPr>
        <w:tabs>
          <w:tab w:val="left" w:pos="720"/>
          <w:tab w:val="left" w:pos="1170"/>
        </w:tabs>
        <w:spacing w:line="240" w:lineRule="auto"/>
        <w:contextualSpacing/>
        <w:rPr>
          <w:rFonts w:cs="Arial"/>
          <w:sz w:val="18"/>
          <w:lang w:val="it-IT"/>
        </w:rPr>
      </w:pPr>
      <w:hyperlink r:id="rId13" w:history="1">
        <w:r w:rsidR="00DE31F6" w:rsidRPr="00A504B1">
          <w:rPr>
            <w:rStyle w:val="Collegamentoipertestuale"/>
            <w:rFonts w:cs="Arial"/>
            <w:sz w:val="18"/>
            <w:lang w:val="it-IT"/>
          </w:rPr>
          <w:t>chiara.gnocchi@novatis.com</w:t>
        </w:r>
      </w:hyperlink>
    </w:p>
    <w:p w14:paraId="44E8CAC7" w14:textId="77777777" w:rsidR="00DE31F6" w:rsidRDefault="00DE31F6" w:rsidP="007D1C88">
      <w:pPr>
        <w:tabs>
          <w:tab w:val="left" w:pos="720"/>
          <w:tab w:val="left" w:pos="1170"/>
        </w:tabs>
        <w:spacing w:line="240" w:lineRule="auto"/>
        <w:contextualSpacing/>
        <w:rPr>
          <w:rFonts w:cs="Arial"/>
          <w:sz w:val="18"/>
          <w:lang w:val="it-IT"/>
        </w:rPr>
      </w:pPr>
    </w:p>
    <w:p w14:paraId="713C7C27" w14:textId="4380F2A0" w:rsidR="007D1C88" w:rsidRPr="003962E5" w:rsidRDefault="007D1C88" w:rsidP="007D1C88">
      <w:pPr>
        <w:tabs>
          <w:tab w:val="left" w:pos="720"/>
          <w:tab w:val="left" w:pos="1170"/>
        </w:tabs>
        <w:spacing w:line="240" w:lineRule="auto"/>
        <w:contextualSpacing/>
        <w:rPr>
          <w:rFonts w:cs="Arial"/>
          <w:sz w:val="18"/>
          <w:lang w:val="it-IT"/>
        </w:rPr>
      </w:pPr>
      <w:r w:rsidRPr="003962E5">
        <w:rPr>
          <w:rFonts w:cs="Arial"/>
          <w:sz w:val="18"/>
          <w:lang w:val="it-IT"/>
        </w:rPr>
        <w:t xml:space="preserve">Ufficio Stampa </w:t>
      </w:r>
    </w:p>
    <w:p w14:paraId="3873CC65" w14:textId="77777777" w:rsidR="007D1C88" w:rsidRPr="003962E5" w:rsidRDefault="007D1C88" w:rsidP="007D1C88">
      <w:pPr>
        <w:tabs>
          <w:tab w:val="left" w:pos="720"/>
          <w:tab w:val="left" w:pos="1170"/>
        </w:tabs>
        <w:spacing w:line="240" w:lineRule="auto"/>
        <w:contextualSpacing/>
        <w:rPr>
          <w:rFonts w:cs="Arial"/>
          <w:sz w:val="18"/>
          <w:lang w:val="it-IT"/>
        </w:rPr>
      </w:pPr>
      <w:r w:rsidRPr="003962E5">
        <w:rPr>
          <w:rFonts w:cs="Arial"/>
          <w:sz w:val="18"/>
          <w:lang w:val="it-IT"/>
        </w:rPr>
        <w:t>Intermedia</w:t>
      </w:r>
    </w:p>
    <w:p w14:paraId="4D750BA4" w14:textId="77777777" w:rsidR="007D1C88" w:rsidRPr="003962E5" w:rsidRDefault="007D1C88" w:rsidP="007D1C88">
      <w:pPr>
        <w:tabs>
          <w:tab w:val="left" w:pos="720"/>
          <w:tab w:val="left" w:pos="1170"/>
        </w:tabs>
        <w:spacing w:line="240" w:lineRule="auto"/>
        <w:contextualSpacing/>
        <w:rPr>
          <w:rFonts w:cs="Arial"/>
          <w:sz w:val="18"/>
          <w:lang w:val="it-IT"/>
        </w:rPr>
      </w:pPr>
      <w:r w:rsidRPr="003962E5">
        <w:rPr>
          <w:rFonts w:cs="Arial"/>
          <w:sz w:val="18"/>
          <w:lang w:val="it-IT"/>
        </w:rPr>
        <w:t>3351892975 - 335265394</w:t>
      </w:r>
    </w:p>
    <w:p w14:paraId="1E4C8153" w14:textId="77777777" w:rsidR="007D1C88" w:rsidRPr="00D63806" w:rsidRDefault="00B83089" w:rsidP="007D1C88">
      <w:pPr>
        <w:rPr>
          <w:lang w:val="it-IT"/>
        </w:rPr>
      </w:pPr>
      <w:hyperlink r:id="rId14" w:history="1">
        <w:r w:rsidR="007D1C88" w:rsidRPr="003962E5">
          <w:rPr>
            <w:rStyle w:val="Collegamentoipertestuale"/>
            <w:rFonts w:cs="Arial"/>
            <w:sz w:val="18"/>
            <w:lang w:val="it-IT"/>
          </w:rPr>
          <w:t>intermedia@intermedianews.it</w:t>
        </w:r>
      </w:hyperlink>
    </w:p>
    <w:p w14:paraId="780A1275" w14:textId="77777777" w:rsidR="007D1C88" w:rsidRPr="00DE31F6" w:rsidRDefault="007D1C88" w:rsidP="00F972B7">
      <w:pPr>
        <w:rPr>
          <w:lang w:val="it-IT"/>
        </w:rPr>
      </w:pPr>
    </w:p>
    <w:sectPr w:rsidR="007D1C88" w:rsidRPr="00DE31F6" w:rsidSect="00F961B0">
      <w:headerReference w:type="even" r:id="rId15"/>
      <w:headerReference w:type="default" r:id="rId16"/>
      <w:footerReference w:type="even" r:id="rId17"/>
      <w:footerReference w:type="default" r:id="rId18"/>
      <w:headerReference w:type="first" r:id="rId19"/>
      <w:footerReference w:type="first" r:id="rId20"/>
      <w:pgSz w:w="11900" w:h="16820"/>
      <w:pgMar w:top="494" w:right="1134" w:bottom="1559" w:left="243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84035" w14:textId="77777777" w:rsidR="00B83089" w:rsidRDefault="00B83089" w:rsidP="00852473">
      <w:pPr>
        <w:spacing w:line="240" w:lineRule="auto"/>
      </w:pPr>
      <w:r>
        <w:separator/>
      </w:r>
    </w:p>
  </w:endnote>
  <w:endnote w:type="continuationSeparator" w:id="0">
    <w:p w14:paraId="6141D42E" w14:textId="77777777" w:rsidR="00B83089" w:rsidRDefault="00B83089" w:rsidP="00852473">
      <w:pPr>
        <w:spacing w:line="240" w:lineRule="auto"/>
      </w:pPr>
      <w:r>
        <w:continuationSeparator/>
      </w:r>
    </w:p>
  </w:endnote>
  <w:endnote w:type="continuationNotice" w:id="1">
    <w:p w14:paraId="03D79454" w14:textId="77777777" w:rsidR="00B83089" w:rsidRDefault="00B8308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roxima Nova Light">
    <w:altName w:val="Tahoma"/>
    <w:panose1 w:val="00000000000000000000"/>
    <w:charset w:val="00"/>
    <w:family w:val="swiss"/>
    <w:notTrueType/>
    <w:pitch w:val="default"/>
    <w:sig w:usb0="00000003" w:usb1="00000000" w:usb2="00000000" w:usb3="00000000" w:csb0="00000001" w:csb1="00000000"/>
  </w:font>
  <w:font w:name="Anodina">
    <w:altName w:val="Courier New"/>
    <w:panose1 w:val="00000000000000000000"/>
    <w:charset w:val="00"/>
    <w:family w:val="modern"/>
    <w:notTrueType/>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MinionPro-Regular">
    <w:altName w:val="MS Gothic"/>
    <w:panose1 w:val="00000000000000000000"/>
    <w:charset w:val="80"/>
    <w:family w:val="roman"/>
    <w:notTrueType/>
    <w:pitch w:val="default"/>
    <w:sig w:usb0="00000081" w:usb1="08070000" w:usb2="00000010" w:usb3="00000000" w:csb0="0002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D2F0" w14:textId="77777777" w:rsidR="00F72D25" w:rsidRDefault="00F72D2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89FD2" w14:textId="77777777" w:rsidR="00B10BDB" w:rsidRDefault="00B10BDB" w:rsidP="3B09E7F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3DAA6" w14:textId="77777777" w:rsidR="00F72D25" w:rsidRDefault="00F72D2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124BB" w14:textId="77777777" w:rsidR="00B83089" w:rsidRDefault="00B83089" w:rsidP="00852473">
      <w:pPr>
        <w:spacing w:line="240" w:lineRule="auto"/>
      </w:pPr>
      <w:r>
        <w:separator/>
      </w:r>
    </w:p>
  </w:footnote>
  <w:footnote w:type="continuationSeparator" w:id="0">
    <w:p w14:paraId="4A021EBA" w14:textId="77777777" w:rsidR="00B83089" w:rsidRDefault="00B83089" w:rsidP="00852473">
      <w:pPr>
        <w:spacing w:line="240" w:lineRule="auto"/>
      </w:pPr>
      <w:r>
        <w:continuationSeparator/>
      </w:r>
    </w:p>
  </w:footnote>
  <w:footnote w:type="continuationNotice" w:id="1">
    <w:p w14:paraId="10616583" w14:textId="77777777" w:rsidR="00B83089" w:rsidRDefault="00B8308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37ED" w14:textId="77777777" w:rsidR="00F72D25" w:rsidRDefault="00F72D2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8F32" w14:textId="77777777" w:rsidR="00B10BDB" w:rsidRDefault="00B10BDB">
    <w:pPr>
      <w:pStyle w:val="Intestazione"/>
    </w:pPr>
  </w:p>
  <w:p w14:paraId="3B926754" w14:textId="77777777" w:rsidR="00B10BDB" w:rsidRDefault="00B10BDB">
    <w:pPr>
      <w:pStyle w:val="Intestazione"/>
    </w:pPr>
  </w:p>
  <w:p w14:paraId="7A92C626" w14:textId="77777777" w:rsidR="00B10BDB" w:rsidRDefault="00B10BDB">
    <w:pPr>
      <w:pStyle w:val="Intestazione"/>
    </w:pPr>
  </w:p>
  <w:p w14:paraId="6BC88854" w14:textId="77777777" w:rsidR="00B10BDB" w:rsidRDefault="00B10BDB">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031E8" w14:textId="1A027BEB" w:rsidR="00B10BDB" w:rsidRDefault="00B10BDB">
    <w:pPr>
      <w:pStyle w:val="Intestazione"/>
    </w:pPr>
    <w:r w:rsidRPr="00254C56">
      <w:rPr>
        <w:noProof/>
        <w:lang w:val="it-IT" w:eastAsia="it-IT"/>
      </w:rPr>
      <w:drawing>
        <wp:anchor distT="0" distB="0" distL="114300" distR="114300" simplePos="0" relativeHeight="251655680" behindDoc="0" locked="0" layoutInCell="1" allowOverlap="1" wp14:anchorId="244DBEDE" wp14:editId="55A009F6">
          <wp:simplePos x="0" y="0"/>
          <wp:positionH relativeFrom="page">
            <wp:posOffset>1238250</wp:posOffset>
          </wp:positionH>
          <wp:positionV relativeFrom="page">
            <wp:posOffset>310515</wp:posOffset>
          </wp:positionV>
          <wp:extent cx="5943600" cy="15748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tern.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57480"/>
                  </a:xfrm>
                  <a:prstGeom prst="rect">
                    <a:avLst/>
                  </a:prstGeom>
                  <a:extLst>
                    <a:ext uri="{FAA26D3D-D897-4be2-8F04-BA451C77F1D7}">
                      <ma14:placeholderFlag xmlns:arto="http://schemas.microsoft.com/office/word/2006/arto"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sidR="00055615">
      <w:rPr>
        <w:noProof/>
      </w:rPr>
      <mc:AlternateContent>
        <mc:Choice Requires="wps">
          <w:drawing>
            <wp:anchor distT="0" distB="0" distL="114300" distR="114300" simplePos="0" relativeHeight="251656704" behindDoc="0" locked="0" layoutInCell="1" allowOverlap="1" wp14:anchorId="77AB0EDC" wp14:editId="27CA6146">
              <wp:simplePos x="0" y="0"/>
              <wp:positionH relativeFrom="column">
                <wp:posOffset>-1333500</wp:posOffset>
              </wp:positionH>
              <wp:positionV relativeFrom="paragraph">
                <wp:posOffset>-57150</wp:posOffset>
              </wp:positionV>
              <wp:extent cx="1259840" cy="163830"/>
              <wp:effectExtent l="0" t="0" r="0" b="0"/>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9840" cy="16383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11A729" id="Rectangle 1" o:spid="_x0000_s1026" style="position:absolute;margin-left:-105pt;margin-top:-4.5pt;width:99.2pt;height:1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" fillcolor="#8d1f1b [3207]" stroked="f" strokeweight="1pt">
              <v:stroke endcap="square"/>
            </v:rect>
          </w:pict>
        </mc:Fallback>
      </mc:AlternateContent>
    </w:r>
    <w:r w:rsidR="00055615">
      <w:rPr>
        <w:noProof/>
      </w:rPr>
      <mc:AlternateContent>
        <mc:Choice Requires="wps">
          <w:drawing>
            <wp:anchor distT="0" distB="0" distL="114300" distR="114300" simplePos="0" relativeHeight="251657728" behindDoc="0" locked="0" layoutInCell="1" allowOverlap="1" wp14:anchorId="78660EB8" wp14:editId="0229A4B4">
              <wp:simplePos x="0" y="0"/>
              <wp:positionH relativeFrom="page">
                <wp:posOffset>5350510</wp:posOffset>
              </wp:positionH>
              <wp:positionV relativeFrom="page">
                <wp:posOffset>826135</wp:posOffset>
              </wp:positionV>
              <wp:extent cx="1979930" cy="161988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930" cy="16198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404DB0" w14:textId="77777777" w:rsidR="00B10BDB" w:rsidRPr="006D6B53" w:rsidRDefault="00B10BDB" w:rsidP="00254C56">
                          <w:pPr>
                            <w:spacing w:line="200" w:lineRule="atLeast"/>
                            <w:rPr>
                              <w:b/>
                              <w:bCs/>
                              <w:color w:val="0460A9"/>
                              <w:sz w:val="16"/>
                              <w:szCs w:val="16"/>
                              <w:lang w:val="fr-CH"/>
                            </w:rPr>
                          </w:pPr>
                          <w:r w:rsidRPr="006D6B53">
                            <w:rPr>
                              <w:b/>
                              <w:bCs/>
                              <w:color w:val="0460A9"/>
                              <w:sz w:val="16"/>
                              <w:szCs w:val="16"/>
                              <w:lang w:val="fr-CH"/>
                            </w:rPr>
                            <w:t>Novartis International AG</w:t>
                          </w:r>
                          <w:r w:rsidRPr="006D6B53">
                            <w:rPr>
                              <w:b/>
                              <w:bCs/>
                              <w:color w:val="0460A9"/>
                              <w:sz w:val="16"/>
                              <w:szCs w:val="16"/>
                              <w:lang w:val="fr-CH"/>
                            </w:rPr>
                            <w:br/>
                            <w:t xml:space="preserve">Novartis Global Communications </w:t>
                          </w:r>
                          <w:r w:rsidRPr="006D6B53">
                            <w:rPr>
                              <w:sz w:val="16"/>
                              <w:szCs w:val="16"/>
                              <w:lang w:val="fr-CH"/>
                            </w:rPr>
                            <w:br/>
                            <w:t>CH-4002 Basel</w:t>
                          </w:r>
                          <w:r w:rsidRPr="006D6B53">
                            <w:rPr>
                              <w:sz w:val="16"/>
                              <w:szCs w:val="16"/>
                              <w:lang w:val="fr-CH"/>
                            </w:rPr>
                            <w:br/>
                            <w:t>Switzerland</w:t>
                          </w:r>
                          <w:r w:rsidRPr="006D6B53">
                            <w:rPr>
                              <w:b/>
                              <w:bCs/>
                              <w:color w:val="0460A9"/>
                              <w:sz w:val="16"/>
                              <w:szCs w:val="16"/>
                              <w:lang w:val="fr-CH"/>
                            </w:rPr>
                            <w:t xml:space="preserve"> </w:t>
                          </w:r>
                        </w:p>
                        <w:p w14:paraId="75F10BBC" w14:textId="77777777" w:rsidR="00B10BDB" w:rsidRPr="006D6B53" w:rsidRDefault="00B10BDB" w:rsidP="00254C56">
                          <w:pPr>
                            <w:spacing w:line="200" w:lineRule="atLeast"/>
                            <w:rPr>
                              <w:b/>
                              <w:bCs/>
                              <w:color w:val="0460A9"/>
                              <w:sz w:val="16"/>
                              <w:szCs w:val="16"/>
                              <w:lang w:val="fr-CH"/>
                            </w:rPr>
                          </w:pPr>
                        </w:p>
                        <w:p w14:paraId="3B5C3158" w14:textId="77777777" w:rsidR="00B10BDB" w:rsidRDefault="00B83089" w:rsidP="00254C56">
                          <w:pPr>
                            <w:spacing w:line="200" w:lineRule="atLeast"/>
                            <w:rPr>
                              <w:rFonts w:ascii="Arial" w:hAnsi="Arial" w:cs="Arial"/>
                              <w:color w:val="000000"/>
                              <w:sz w:val="16"/>
                              <w:szCs w:val="16"/>
                              <w:lang w:val="fr-FR"/>
                            </w:rPr>
                          </w:pPr>
                          <w:hyperlink r:id="rId2" w:history="1">
                            <w:r w:rsidR="00B10BDB" w:rsidRPr="009B10B4">
                              <w:rPr>
                                <w:rStyle w:val="Collegamentoipertestuale"/>
                                <w:rFonts w:ascii="Arial" w:hAnsi="Arial" w:cs="Arial"/>
                                <w:sz w:val="16"/>
                                <w:szCs w:val="16"/>
                                <w:lang w:val="fr-FR"/>
                              </w:rPr>
                              <w:t>https://www.novartis.com</w:t>
                            </w:r>
                          </w:hyperlink>
                        </w:p>
                        <w:p w14:paraId="5ADDD528" w14:textId="77777777" w:rsidR="00B10BDB" w:rsidRPr="007B32D1" w:rsidRDefault="00B10BDB" w:rsidP="00254C56">
                          <w:pPr>
                            <w:spacing w:line="200" w:lineRule="atLeast"/>
                            <w:rPr>
                              <w:sz w:val="16"/>
                              <w:szCs w:val="16"/>
                              <w:lang w:val="fr-CH"/>
                            </w:rPr>
                          </w:pPr>
                          <w:r w:rsidRPr="007B32D1">
                            <w:rPr>
                              <w:sz w:val="16"/>
                              <w:szCs w:val="16"/>
                              <w:lang w:val="fr-CH"/>
                            </w:rPr>
                            <w:t>https://twitter.com/novartisnews</w:t>
                          </w:r>
                        </w:p>
                        <w:p w14:paraId="0B4757B8" w14:textId="77777777" w:rsidR="00B10BDB" w:rsidRPr="007B32D1" w:rsidRDefault="00B10BDB" w:rsidP="00254C56">
                          <w:pPr>
                            <w:rPr>
                              <w:lang w:val="fr-CH"/>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660EB8" id="_x0000_t202" coordsize="21600,21600" o:spt="202" path="m,l,21600r21600,l21600,xe">
              <v:stroke joinstyle="miter"/>
              <v:path gradientshapeok="t" o:connecttype="rect"/>
            </v:shapetype>
            <v:shape id="Text Box 11" o:spid="_x0000_s1026" type="#_x0000_t202" style="position:absolute;margin-left:421.3pt;margin-top:65.05pt;width:155.9pt;height:127.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" filled="f" stroked="f">
              <v:textbox inset="0,0,0,0">
                <w:txbxContent>
                  <w:p w14:paraId="18404DB0" w14:textId="77777777" w:rsidR="00B10BDB" w:rsidRPr="006D6B53" w:rsidRDefault="00B10BDB" w:rsidP="00254C56">
                    <w:pPr>
                      <w:spacing w:line="200" w:lineRule="atLeast"/>
                      <w:rPr>
                        <w:b/>
                        <w:bCs/>
                        <w:color w:val="0460A9"/>
                        <w:sz w:val="16"/>
                        <w:szCs w:val="16"/>
                        <w:lang w:val="fr-CH"/>
                      </w:rPr>
                    </w:pPr>
                    <w:r w:rsidRPr="006D6B53">
                      <w:rPr>
                        <w:b/>
                        <w:bCs/>
                        <w:color w:val="0460A9"/>
                        <w:sz w:val="16"/>
                        <w:szCs w:val="16"/>
                        <w:lang w:val="fr-CH"/>
                      </w:rPr>
                      <w:t>Novartis International AG</w:t>
                    </w:r>
                    <w:r w:rsidRPr="006D6B53">
                      <w:rPr>
                        <w:b/>
                        <w:bCs/>
                        <w:color w:val="0460A9"/>
                        <w:sz w:val="16"/>
                        <w:szCs w:val="16"/>
                        <w:lang w:val="fr-CH"/>
                      </w:rPr>
                      <w:br/>
                      <w:t xml:space="preserve">Novartis Global Communications </w:t>
                    </w:r>
                    <w:r w:rsidRPr="006D6B53">
                      <w:rPr>
                        <w:sz w:val="16"/>
                        <w:szCs w:val="16"/>
                        <w:lang w:val="fr-CH"/>
                      </w:rPr>
                      <w:br/>
                      <w:t>CH-4002 Basel</w:t>
                    </w:r>
                    <w:r w:rsidRPr="006D6B53">
                      <w:rPr>
                        <w:sz w:val="16"/>
                        <w:szCs w:val="16"/>
                        <w:lang w:val="fr-CH"/>
                      </w:rPr>
                      <w:br/>
                      <w:t>Switzerland</w:t>
                    </w:r>
                    <w:r w:rsidRPr="006D6B53">
                      <w:rPr>
                        <w:b/>
                        <w:bCs/>
                        <w:color w:val="0460A9"/>
                        <w:sz w:val="16"/>
                        <w:szCs w:val="16"/>
                        <w:lang w:val="fr-CH"/>
                      </w:rPr>
                      <w:t xml:space="preserve"> </w:t>
                    </w:r>
                  </w:p>
                  <w:p w14:paraId="75F10BBC" w14:textId="77777777" w:rsidR="00B10BDB" w:rsidRPr="006D6B53" w:rsidRDefault="00B10BDB" w:rsidP="00254C56">
                    <w:pPr>
                      <w:spacing w:line="200" w:lineRule="atLeast"/>
                      <w:rPr>
                        <w:b/>
                        <w:bCs/>
                        <w:color w:val="0460A9"/>
                        <w:sz w:val="16"/>
                        <w:szCs w:val="16"/>
                        <w:lang w:val="fr-CH"/>
                      </w:rPr>
                    </w:pPr>
                  </w:p>
                  <w:p w14:paraId="3B5C3158" w14:textId="77777777" w:rsidR="00B10BDB" w:rsidRDefault="00B83089" w:rsidP="00254C56">
                    <w:pPr>
                      <w:spacing w:line="200" w:lineRule="atLeast"/>
                      <w:rPr>
                        <w:rFonts w:ascii="Arial" w:hAnsi="Arial" w:cs="Arial"/>
                        <w:color w:val="000000"/>
                        <w:sz w:val="16"/>
                        <w:szCs w:val="16"/>
                        <w:lang w:val="fr-FR"/>
                      </w:rPr>
                    </w:pPr>
                    <w:hyperlink r:id="rId3" w:history="1">
                      <w:r w:rsidR="00B10BDB" w:rsidRPr="009B10B4">
                        <w:rPr>
                          <w:rStyle w:val="Collegamentoipertestuale"/>
                          <w:rFonts w:ascii="Arial" w:hAnsi="Arial" w:cs="Arial"/>
                          <w:sz w:val="16"/>
                          <w:szCs w:val="16"/>
                          <w:lang w:val="fr-FR"/>
                        </w:rPr>
                        <w:t>https://www.novartis.com</w:t>
                      </w:r>
                    </w:hyperlink>
                  </w:p>
                  <w:p w14:paraId="5ADDD528" w14:textId="77777777" w:rsidR="00B10BDB" w:rsidRPr="007B32D1" w:rsidRDefault="00B10BDB" w:rsidP="00254C56">
                    <w:pPr>
                      <w:spacing w:line="200" w:lineRule="atLeast"/>
                      <w:rPr>
                        <w:sz w:val="16"/>
                        <w:szCs w:val="16"/>
                        <w:lang w:val="fr-CH"/>
                      </w:rPr>
                    </w:pPr>
                    <w:r w:rsidRPr="007B32D1">
                      <w:rPr>
                        <w:sz w:val="16"/>
                        <w:szCs w:val="16"/>
                        <w:lang w:val="fr-CH"/>
                      </w:rPr>
                      <w:t>https://twitter.com/novartisnews</w:t>
                    </w:r>
                  </w:p>
                  <w:p w14:paraId="0B4757B8" w14:textId="77777777" w:rsidR="00B10BDB" w:rsidRPr="007B32D1" w:rsidRDefault="00B10BDB" w:rsidP="00254C56">
                    <w:pPr>
                      <w:rPr>
                        <w:lang w:val="fr-CH"/>
                      </w:rPr>
                    </w:pPr>
                  </w:p>
                </w:txbxContent>
              </v:textbox>
              <w10:wrap anchorx="page" anchory="page"/>
            </v:shape>
          </w:pict>
        </mc:Fallback>
      </mc:AlternateContent>
    </w:r>
    <w:r w:rsidRPr="00254C56">
      <w:rPr>
        <w:noProof/>
        <w:lang w:val="it-IT" w:eastAsia="it-IT"/>
      </w:rPr>
      <w:drawing>
        <wp:anchor distT="0" distB="0" distL="114300" distR="114300" simplePos="0" relativeHeight="251658752" behindDoc="0" locked="0" layoutInCell="1" allowOverlap="1" wp14:anchorId="7E4FB255" wp14:editId="52797312">
          <wp:simplePos x="0" y="0"/>
          <wp:positionH relativeFrom="page">
            <wp:posOffset>1474470</wp:posOffset>
          </wp:positionH>
          <wp:positionV relativeFrom="page">
            <wp:posOffset>725170</wp:posOffset>
          </wp:positionV>
          <wp:extent cx="1810385" cy="3302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810385" cy="330200"/>
                  </a:xfrm>
                  <a:prstGeom prst="rect">
                    <a:avLst/>
                  </a:prstGeom>
                  <a:extLst>
                    <a:ext uri="{FAA26D3D-D897-4be2-8F04-BA451C77F1D7}">
                      <ma14:placeholderFlag xmlns:arto="http://schemas.microsoft.com/office/word/2006/arto"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109"/>
    <w:multiLevelType w:val="hybridMultilevel"/>
    <w:tmpl w:val="9CA293F0"/>
    <w:lvl w:ilvl="0" w:tplc="F30E2248">
      <w:start w:val="1"/>
      <w:numFmt w:val="decimal"/>
      <w:lvlText w:val="%1."/>
      <w:lvlJc w:val="left"/>
      <w:pPr>
        <w:tabs>
          <w:tab w:val="num" w:pos="720"/>
        </w:tabs>
        <w:ind w:left="720" w:hanging="360"/>
      </w:pPr>
      <w:rPr>
        <w:rFonts w:asciiTheme="minorHAnsi" w:eastAsiaTheme="minorHAnsi" w:hAnsiTheme="minorHAnsi" w:cstheme="minorBidi"/>
      </w:rPr>
    </w:lvl>
    <w:lvl w:ilvl="1" w:tplc="22740DFE" w:tentative="1">
      <w:start w:val="1"/>
      <w:numFmt w:val="decimal"/>
      <w:lvlText w:val="%2."/>
      <w:lvlJc w:val="left"/>
      <w:pPr>
        <w:tabs>
          <w:tab w:val="num" w:pos="1440"/>
        </w:tabs>
        <w:ind w:left="1440" w:hanging="360"/>
      </w:pPr>
    </w:lvl>
    <w:lvl w:ilvl="2" w:tplc="4D5E82F0" w:tentative="1">
      <w:start w:val="1"/>
      <w:numFmt w:val="decimal"/>
      <w:lvlText w:val="%3."/>
      <w:lvlJc w:val="left"/>
      <w:pPr>
        <w:tabs>
          <w:tab w:val="num" w:pos="2160"/>
        </w:tabs>
        <w:ind w:left="2160" w:hanging="360"/>
      </w:pPr>
    </w:lvl>
    <w:lvl w:ilvl="3" w:tplc="98C6929E" w:tentative="1">
      <w:start w:val="1"/>
      <w:numFmt w:val="decimal"/>
      <w:lvlText w:val="%4."/>
      <w:lvlJc w:val="left"/>
      <w:pPr>
        <w:tabs>
          <w:tab w:val="num" w:pos="2880"/>
        </w:tabs>
        <w:ind w:left="2880" w:hanging="360"/>
      </w:pPr>
    </w:lvl>
    <w:lvl w:ilvl="4" w:tplc="493C13EC" w:tentative="1">
      <w:start w:val="1"/>
      <w:numFmt w:val="decimal"/>
      <w:lvlText w:val="%5."/>
      <w:lvlJc w:val="left"/>
      <w:pPr>
        <w:tabs>
          <w:tab w:val="num" w:pos="3600"/>
        </w:tabs>
        <w:ind w:left="3600" w:hanging="360"/>
      </w:pPr>
    </w:lvl>
    <w:lvl w:ilvl="5" w:tplc="9BAE05D4" w:tentative="1">
      <w:start w:val="1"/>
      <w:numFmt w:val="decimal"/>
      <w:lvlText w:val="%6."/>
      <w:lvlJc w:val="left"/>
      <w:pPr>
        <w:tabs>
          <w:tab w:val="num" w:pos="4320"/>
        </w:tabs>
        <w:ind w:left="4320" w:hanging="360"/>
      </w:pPr>
    </w:lvl>
    <w:lvl w:ilvl="6" w:tplc="E446CFCC" w:tentative="1">
      <w:start w:val="1"/>
      <w:numFmt w:val="decimal"/>
      <w:lvlText w:val="%7."/>
      <w:lvlJc w:val="left"/>
      <w:pPr>
        <w:tabs>
          <w:tab w:val="num" w:pos="5040"/>
        </w:tabs>
        <w:ind w:left="5040" w:hanging="360"/>
      </w:pPr>
    </w:lvl>
    <w:lvl w:ilvl="7" w:tplc="5802B6F4" w:tentative="1">
      <w:start w:val="1"/>
      <w:numFmt w:val="decimal"/>
      <w:lvlText w:val="%8."/>
      <w:lvlJc w:val="left"/>
      <w:pPr>
        <w:tabs>
          <w:tab w:val="num" w:pos="5760"/>
        </w:tabs>
        <w:ind w:left="5760" w:hanging="360"/>
      </w:pPr>
    </w:lvl>
    <w:lvl w:ilvl="8" w:tplc="3C0A95FE" w:tentative="1">
      <w:start w:val="1"/>
      <w:numFmt w:val="decimal"/>
      <w:lvlText w:val="%9."/>
      <w:lvlJc w:val="left"/>
      <w:pPr>
        <w:tabs>
          <w:tab w:val="num" w:pos="6480"/>
        </w:tabs>
        <w:ind w:left="6480" w:hanging="360"/>
      </w:pPr>
    </w:lvl>
  </w:abstractNum>
  <w:abstractNum w:abstractNumId="1" w15:restartNumberingAfterBreak="0">
    <w:nsid w:val="00E453C7"/>
    <w:multiLevelType w:val="multilevel"/>
    <w:tmpl w:val="6DE8D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6439AD"/>
    <w:multiLevelType w:val="multilevel"/>
    <w:tmpl w:val="70D62E96"/>
    <w:lvl w:ilvl="0">
      <w:start w:val="1"/>
      <w:numFmt w:val="bullet"/>
      <w:pStyle w:val="Bullet1"/>
      <w:lvlText w:val=""/>
      <w:lvlJc w:val="left"/>
      <w:pPr>
        <w:ind w:left="284" w:firstLine="73"/>
      </w:pPr>
      <w:rPr>
        <w:rFonts w:ascii="Symbol" w:hAnsi="Symbol" w:hint="default"/>
      </w:rPr>
    </w:lvl>
    <w:lvl w:ilvl="1">
      <w:start w:val="1"/>
      <w:numFmt w:val="bullet"/>
      <w:pStyle w:val="Bullet2"/>
      <w:lvlText w:val=""/>
      <w:lvlJc w:val="left"/>
      <w:pPr>
        <w:ind w:left="568" w:firstLine="73"/>
      </w:pPr>
      <w:rPr>
        <w:rFonts w:ascii="Symbol" w:hAnsi="Symbol" w:hint="default"/>
      </w:rPr>
    </w:lvl>
    <w:lvl w:ilvl="2">
      <w:start w:val="1"/>
      <w:numFmt w:val="bullet"/>
      <w:pStyle w:val="Bullet3"/>
      <w:lvlText w:val=""/>
      <w:lvlJc w:val="left"/>
      <w:pPr>
        <w:ind w:left="852" w:firstLine="73"/>
      </w:pPr>
      <w:rPr>
        <w:rFonts w:ascii="Wingdings" w:hAnsi="Wingdings" w:hint="default"/>
      </w:rPr>
    </w:lvl>
    <w:lvl w:ilvl="3">
      <w:start w:val="1"/>
      <w:numFmt w:val="bullet"/>
      <w:pStyle w:val="Bullet4"/>
      <w:lvlText w:val=""/>
      <w:lvlJc w:val="left"/>
      <w:pPr>
        <w:ind w:left="1136" w:firstLine="73"/>
      </w:pPr>
      <w:rPr>
        <w:rFonts w:ascii="Symbol" w:hAnsi="Symbol" w:hint="default"/>
      </w:rPr>
    </w:lvl>
    <w:lvl w:ilvl="4">
      <w:start w:val="1"/>
      <w:numFmt w:val="bullet"/>
      <w:pStyle w:val="Bullet5"/>
      <w:lvlText w:val="o"/>
      <w:lvlJc w:val="left"/>
      <w:pPr>
        <w:ind w:left="1420" w:firstLine="73"/>
      </w:pPr>
      <w:rPr>
        <w:rFonts w:ascii="Courier New" w:hAnsi="Courier New" w:hint="default"/>
      </w:rPr>
    </w:lvl>
    <w:lvl w:ilvl="5">
      <w:start w:val="1"/>
      <w:numFmt w:val="bullet"/>
      <w:pStyle w:val="Bullet6"/>
      <w:lvlText w:val=""/>
      <w:lvlJc w:val="left"/>
      <w:pPr>
        <w:ind w:left="1704" w:firstLine="73"/>
      </w:pPr>
      <w:rPr>
        <w:rFonts w:ascii="Wingdings" w:hAnsi="Wingdings" w:hint="default"/>
      </w:rPr>
    </w:lvl>
    <w:lvl w:ilvl="6">
      <w:start w:val="1"/>
      <w:numFmt w:val="bullet"/>
      <w:pStyle w:val="Bullet7"/>
      <w:lvlText w:val=""/>
      <w:lvlJc w:val="left"/>
      <w:pPr>
        <w:ind w:left="1988" w:firstLine="73"/>
      </w:pPr>
      <w:rPr>
        <w:rFonts w:ascii="Symbol" w:hAnsi="Symbol" w:hint="default"/>
      </w:rPr>
    </w:lvl>
    <w:lvl w:ilvl="7">
      <w:start w:val="1"/>
      <w:numFmt w:val="bullet"/>
      <w:pStyle w:val="Bullet8"/>
      <w:lvlText w:val="o"/>
      <w:lvlJc w:val="left"/>
      <w:pPr>
        <w:ind w:left="2272" w:firstLine="73"/>
      </w:pPr>
      <w:rPr>
        <w:rFonts w:ascii="Courier New" w:hAnsi="Courier New" w:cs="Courier New" w:hint="default"/>
      </w:rPr>
    </w:lvl>
    <w:lvl w:ilvl="8">
      <w:start w:val="1"/>
      <w:numFmt w:val="bullet"/>
      <w:pStyle w:val="Bullet9"/>
      <w:lvlText w:val=""/>
      <w:lvlJc w:val="left"/>
      <w:pPr>
        <w:ind w:left="2556" w:firstLine="73"/>
      </w:pPr>
      <w:rPr>
        <w:rFonts w:ascii="Wingdings" w:hAnsi="Wingdings" w:hint="default"/>
      </w:rPr>
    </w:lvl>
  </w:abstractNum>
  <w:abstractNum w:abstractNumId="3" w15:restartNumberingAfterBreak="0">
    <w:nsid w:val="091D4FC3"/>
    <w:multiLevelType w:val="hybridMultilevel"/>
    <w:tmpl w:val="E6889250"/>
    <w:lvl w:ilvl="0" w:tplc="CAF801E8">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6573F80"/>
    <w:multiLevelType w:val="multilevel"/>
    <w:tmpl w:val="9E40A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054595"/>
    <w:multiLevelType w:val="multilevel"/>
    <w:tmpl w:val="328EE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5844AA"/>
    <w:multiLevelType w:val="multilevel"/>
    <w:tmpl w:val="3872B566"/>
    <w:lvl w:ilvl="0">
      <w:start w:val="1"/>
      <w:numFmt w:val="decimal"/>
      <w:pStyle w:val="Numbers"/>
      <w:lvlText w:val="%1."/>
      <w:lvlJc w:val="left"/>
      <w:pPr>
        <w:ind w:left="288" w:hanging="288"/>
      </w:pPr>
      <w:rPr>
        <w:rFonts w:ascii="Arial" w:hAnsi="Arial" w:hint="default"/>
      </w:rPr>
    </w:lvl>
    <w:lvl w:ilvl="1">
      <w:start w:val="1"/>
      <w:numFmt w:val="lowerLetter"/>
      <w:lvlText w:val="%2."/>
      <w:lvlJc w:val="left"/>
      <w:pPr>
        <w:ind w:left="576" w:hanging="288"/>
      </w:pPr>
      <w:rPr>
        <w:rFonts w:ascii="Arial" w:hAnsi="Arial" w:hint="default"/>
      </w:rPr>
    </w:lvl>
    <w:lvl w:ilvl="2">
      <w:start w:val="1"/>
      <w:numFmt w:val="lowerRoman"/>
      <w:lvlText w:val="%3."/>
      <w:lvlJc w:val="left"/>
      <w:pPr>
        <w:ind w:left="864" w:hanging="288"/>
      </w:pPr>
      <w:rPr>
        <w:rFonts w:ascii="Arial" w:hAnsi="Arial" w:hint="default"/>
      </w:rPr>
    </w:lvl>
    <w:lvl w:ilvl="3">
      <w:start w:val="1"/>
      <w:numFmt w:val="decimal"/>
      <w:lvlText w:val="%4)"/>
      <w:lvlJc w:val="left"/>
      <w:pPr>
        <w:ind w:left="1152" w:hanging="288"/>
      </w:pPr>
      <w:rPr>
        <w:rFonts w:ascii="Arial" w:hAnsi="Arial" w:hint="default"/>
      </w:rPr>
    </w:lvl>
    <w:lvl w:ilvl="4">
      <w:start w:val="1"/>
      <w:numFmt w:val="lowerLetter"/>
      <w:lvlText w:val="%5)"/>
      <w:lvlJc w:val="left"/>
      <w:pPr>
        <w:ind w:left="1440" w:hanging="288"/>
      </w:pPr>
      <w:rPr>
        <w:rFonts w:ascii="Arial" w:hAnsi="Arial" w:hint="default"/>
      </w:rPr>
    </w:lvl>
    <w:lvl w:ilvl="5">
      <w:start w:val="1"/>
      <w:numFmt w:val="lowerRoman"/>
      <w:lvlText w:val="%6)"/>
      <w:lvlJc w:val="left"/>
      <w:pPr>
        <w:ind w:left="1728" w:hanging="288"/>
      </w:pPr>
      <w:rPr>
        <w:rFonts w:ascii="Arial" w:hAnsi="Arial" w:hint="default"/>
      </w:rPr>
    </w:lvl>
    <w:lvl w:ilvl="6">
      <w:start w:val="1"/>
      <w:numFmt w:val="decimal"/>
      <w:lvlText w:val="(%7)"/>
      <w:lvlJc w:val="left"/>
      <w:pPr>
        <w:ind w:left="2016" w:hanging="288"/>
      </w:pPr>
      <w:rPr>
        <w:rFonts w:ascii="Arial" w:hAnsi="Arial" w:hint="default"/>
      </w:rPr>
    </w:lvl>
    <w:lvl w:ilvl="7">
      <w:start w:val="1"/>
      <w:numFmt w:val="lowerLetter"/>
      <w:lvlText w:val="(%8)"/>
      <w:lvlJc w:val="left"/>
      <w:pPr>
        <w:ind w:left="2304" w:hanging="288"/>
      </w:pPr>
      <w:rPr>
        <w:rFonts w:ascii="Arial" w:hAnsi="Arial" w:hint="default"/>
      </w:rPr>
    </w:lvl>
    <w:lvl w:ilvl="8">
      <w:start w:val="1"/>
      <w:numFmt w:val="lowerRoman"/>
      <w:lvlText w:val="(%9)"/>
      <w:lvlJc w:val="left"/>
      <w:pPr>
        <w:ind w:left="2592" w:hanging="288"/>
      </w:pPr>
      <w:rPr>
        <w:rFonts w:ascii="Arial" w:hAnsi="Arial" w:hint="default"/>
      </w:rPr>
    </w:lvl>
  </w:abstractNum>
  <w:abstractNum w:abstractNumId="7" w15:restartNumberingAfterBreak="0">
    <w:nsid w:val="4BD7469F"/>
    <w:multiLevelType w:val="multilevel"/>
    <w:tmpl w:val="EFECEB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EDA454B"/>
    <w:multiLevelType w:val="hybridMultilevel"/>
    <w:tmpl w:val="192E3AA4"/>
    <w:lvl w:ilvl="0" w:tplc="28849B86">
      <w:start w:val="1"/>
      <w:numFmt w:val="decimal"/>
      <w:lvlText w:val="%1."/>
      <w:lvlJc w:val="left"/>
      <w:pPr>
        <w:tabs>
          <w:tab w:val="num" w:pos="720"/>
        </w:tabs>
        <w:ind w:left="720" w:hanging="360"/>
      </w:pPr>
    </w:lvl>
    <w:lvl w:ilvl="1" w:tplc="D0B2F682" w:tentative="1">
      <w:start w:val="1"/>
      <w:numFmt w:val="decimal"/>
      <w:lvlText w:val="%2."/>
      <w:lvlJc w:val="left"/>
      <w:pPr>
        <w:tabs>
          <w:tab w:val="num" w:pos="1440"/>
        </w:tabs>
        <w:ind w:left="1440" w:hanging="360"/>
      </w:pPr>
    </w:lvl>
    <w:lvl w:ilvl="2" w:tplc="65DE91F0" w:tentative="1">
      <w:start w:val="1"/>
      <w:numFmt w:val="decimal"/>
      <w:lvlText w:val="%3."/>
      <w:lvlJc w:val="left"/>
      <w:pPr>
        <w:tabs>
          <w:tab w:val="num" w:pos="2160"/>
        </w:tabs>
        <w:ind w:left="2160" w:hanging="360"/>
      </w:pPr>
    </w:lvl>
    <w:lvl w:ilvl="3" w:tplc="1116B7A2" w:tentative="1">
      <w:start w:val="1"/>
      <w:numFmt w:val="decimal"/>
      <w:lvlText w:val="%4."/>
      <w:lvlJc w:val="left"/>
      <w:pPr>
        <w:tabs>
          <w:tab w:val="num" w:pos="2880"/>
        </w:tabs>
        <w:ind w:left="2880" w:hanging="360"/>
      </w:pPr>
    </w:lvl>
    <w:lvl w:ilvl="4" w:tplc="77A68934" w:tentative="1">
      <w:start w:val="1"/>
      <w:numFmt w:val="decimal"/>
      <w:lvlText w:val="%5."/>
      <w:lvlJc w:val="left"/>
      <w:pPr>
        <w:tabs>
          <w:tab w:val="num" w:pos="3600"/>
        </w:tabs>
        <w:ind w:left="3600" w:hanging="360"/>
      </w:pPr>
    </w:lvl>
    <w:lvl w:ilvl="5" w:tplc="198C8CE4" w:tentative="1">
      <w:start w:val="1"/>
      <w:numFmt w:val="decimal"/>
      <w:lvlText w:val="%6."/>
      <w:lvlJc w:val="left"/>
      <w:pPr>
        <w:tabs>
          <w:tab w:val="num" w:pos="4320"/>
        </w:tabs>
        <w:ind w:left="4320" w:hanging="360"/>
      </w:pPr>
    </w:lvl>
    <w:lvl w:ilvl="6" w:tplc="A6349694" w:tentative="1">
      <w:start w:val="1"/>
      <w:numFmt w:val="decimal"/>
      <w:lvlText w:val="%7."/>
      <w:lvlJc w:val="left"/>
      <w:pPr>
        <w:tabs>
          <w:tab w:val="num" w:pos="5040"/>
        </w:tabs>
        <w:ind w:left="5040" w:hanging="360"/>
      </w:pPr>
    </w:lvl>
    <w:lvl w:ilvl="7" w:tplc="225A3C24" w:tentative="1">
      <w:start w:val="1"/>
      <w:numFmt w:val="decimal"/>
      <w:lvlText w:val="%8."/>
      <w:lvlJc w:val="left"/>
      <w:pPr>
        <w:tabs>
          <w:tab w:val="num" w:pos="5760"/>
        </w:tabs>
        <w:ind w:left="5760" w:hanging="360"/>
      </w:pPr>
    </w:lvl>
    <w:lvl w:ilvl="8" w:tplc="91F25684" w:tentative="1">
      <w:start w:val="1"/>
      <w:numFmt w:val="decimal"/>
      <w:lvlText w:val="%9."/>
      <w:lvlJc w:val="left"/>
      <w:pPr>
        <w:tabs>
          <w:tab w:val="num" w:pos="6480"/>
        </w:tabs>
        <w:ind w:left="6480" w:hanging="360"/>
      </w:pPr>
    </w:lvl>
  </w:abstractNum>
  <w:abstractNum w:abstractNumId="9" w15:restartNumberingAfterBreak="0">
    <w:nsid w:val="52F97009"/>
    <w:multiLevelType w:val="multilevel"/>
    <w:tmpl w:val="9E40A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3F22D9"/>
    <w:multiLevelType w:val="multilevel"/>
    <w:tmpl w:val="445E1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63322BB"/>
    <w:multiLevelType w:val="hybridMultilevel"/>
    <w:tmpl w:val="3F58A0F6"/>
    <w:lvl w:ilvl="0" w:tplc="9A16AC40">
      <w:start w:val="3"/>
      <w:numFmt w:val="decimal"/>
      <w:lvlText w:val="%1."/>
      <w:lvlJc w:val="left"/>
      <w:pPr>
        <w:tabs>
          <w:tab w:val="num" w:pos="720"/>
        </w:tabs>
        <w:ind w:left="720" w:hanging="360"/>
      </w:pPr>
    </w:lvl>
    <w:lvl w:ilvl="1" w:tplc="B4D4C7E2" w:tentative="1">
      <w:start w:val="1"/>
      <w:numFmt w:val="decimal"/>
      <w:lvlText w:val="%2."/>
      <w:lvlJc w:val="left"/>
      <w:pPr>
        <w:tabs>
          <w:tab w:val="num" w:pos="1440"/>
        </w:tabs>
        <w:ind w:left="1440" w:hanging="360"/>
      </w:pPr>
    </w:lvl>
    <w:lvl w:ilvl="2" w:tplc="D1645E7C" w:tentative="1">
      <w:start w:val="1"/>
      <w:numFmt w:val="decimal"/>
      <w:lvlText w:val="%3."/>
      <w:lvlJc w:val="left"/>
      <w:pPr>
        <w:tabs>
          <w:tab w:val="num" w:pos="2160"/>
        </w:tabs>
        <w:ind w:left="2160" w:hanging="360"/>
      </w:pPr>
    </w:lvl>
    <w:lvl w:ilvl="3" w:tplc="1B1A007A" w:tentative="1">
      <w:start w:val="1"/>
      <w:numFmt w:val="decimal"/>
      <w:lvlText w:val="%4."/>
      <w:lvlJc w:val="left"/>
      <w:pPr>
        <w:tabs>
          <w:tab w:val="num" w:pos="2880"/>
        </w:tabs>
        <w:ind w:left="2880" w:hanging="360"/>
      </w:pPr>
    </w:lvl>
    <w:lvl w:ilvl="4" w:tplc="B9D82BF0" w:tentative="1">
      <w:start w:val="1"/>
      <w:numFmt w:val="decimal"/>
      <w:lvlText w:val="%5."/>
      <w:lvlJc w:val="left"/>
      <w:pPr>
        <w:tabs>
          <w:tab w:val="num" w:pos="3600"/>
        </w:tabs>
        <w:ind w:left="3600" w:hanging="360"/>
      </w:pPr>
    </w:lvl>
    <w:lvl w:ilvl="5" w:tplc="F1143252" w:tentative="1">
      <w:start w:val="1"/>
      <w:numFmt w:val="decimal"/>
      <w:lvlText w:val="%6."/>
      <w:lvlJc w:val="left"/>
      <w:pPr>
        <w:tabs>
          <w:tab w:val="num" w:pos="4320"/>
        </w:tabs>
        <w:ind w:left="4320" w:hanging="360"/>
      </w:pPr>
    </w:lvl>
    <w:lvl w:ilvl="6" w:tplc="00C4BD3E" w:tentative="1">
      <w:start w:val="1"/>
      <w:numFmt w:val="decimal"/>
      <w:lvlText w:val="%7."/>
      <w:lvlJc w:val="left"/>
      <w:pPr>
        <w:tabs>
          <w:tab w:val="num" w:pos="5040"/>
        </w:tabs>
        <w:ind w:left="5040" w:hanging="360"/>
      </w:pPr>
    </w:lvl>
    <w:lvl w:ilvl="7" w:tplc="81926504" w:tentative="1">
      <w:start w:val="1"/>
      <w:numFmt w:val="decimal"/>
      <w:lvlText w:val="%8."/>
      <w:lvlJc w:val="left"/>
      <w:pPr>
        <w:tabs>
          <w:tab w:val="num" w:pos="5760"/>
        </w:tabs>
        <w:ind w:left="5760" w:hanging="360"/>
      </w:pPr>
    </w:lvl>
    <w:lvl w:ilvl="8" w:tplc="C1CE725A" w:tentative="1">
      <w:start w:val="1"/>
      <w:numFmt w:val="decimal"/>
      <w:lvlText w:val="%9."/>
      <w:lvlJc w:val="left"/>
      <w:pPr>
        <w:tabs>
          <w:tab w:val="num" w:pos="6480"/>
        </w:tabs>
        <w:ind w:left="6480" w:hanging="360"/>
      </w:pPr>
    </w:lvl>
  </w:abstractNum>
  <w:abstractNum w:abstractNumId="12" w15:restartNumberingAfterBreak="0">
    <w:nsid w:val="674051D7"/>
    <w:multiLevelType w:val="multilevel"/>
    <w:tmpl w:val="BD5C2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B47F90"/>
    <w:multiLevelType w:val="multilevel"/>
    <w:tmpl w:val="38A476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D6C27F1"/>
    <w:multiLevelType w:val="hybridMultilevel"/>
    <w:tmpl w:val="9D2AC3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2211E23"/>
    <w:multiLevelType w:val="multilevel"/>
    <w:tmpl w:val="70DADA76"/>
    <w:lvl w:ilvl="0">
      <w:start w:val="1"/>
      <w:numFmt w:val="bullet"/>
      <w:pStyle w:val="Bullets"/>
      <w:lvlText w:val="•"/>
      <w:lvlJc w:val="left"/>
      <w:pPr>
        <w:ind w:left="216" w:hanging="216"/>
      </w:pPr>
      <w:rPr>
        <w:rFonts w:ascii="Arial" w:hAnsi="Arial" w:hint="default"/>
      </w:rPr>
    </w:lvl>
    <w:lvl w:ilvl="1">
      <w:start w:val="1"/>
      <w:numFmt w:val="bullet"/>
      <w:lvlText w:val=""/>
      <w:lvlJc w:val="left"/>
      <w:pPr>
        <w:ind w:left="432" w:hanging="216"/>
      </w:pPr>
      <w:rPr>
        <w:rFonts w:ascii="Symbol" w:hAnsi="Symbol" w:hint="default"/>
        <w:color w:val="000000" w:themeColor="text1"/>
      </w:rPr>
    </w:lvl>
    <w:lvl w:ilvl="2">
      <w:start w:val="1"/>
      <w:numFmt w:val="bullet"/>
      <w:lvlText w:val="–"/>
      <w:lvlJc w:val="left"/>
      <w:pPr>
        <w:ind w:left="648" w:hanging="216"/>
      </w:pPr>
      <w:rPr>
        <w:rFonts w:ascii="Arial" w:hAnsi="Arial" w:hint="default"/>
      </w:rPr>
    </w:lvl>
    <w:lvl w:ilvl="3">
      <w:start w:val="1"/>
      <w:numFmt w:val="bullet"/>
      <w:lvlText w:val="–"/>
      <w:lvlJc w:val="left"/>
      <w:pPr>
        <w:ind w:left="864" w:hanging="216"/>
      </w:pPr>
      <w:rPr>
        <w:rFonts w:ascii="Arial" w:hAnsi="Arial" w:hint="default"/>
      </w:rPr>
    </w:lvl>
    <w:lvl w:ilvl="4">
      <w:start w:val="1"/>
      <w:numFmt w:val="bullet"/>
      <w:lvlText w:val="–"/>
      <w:lvlJc w:val="left"/>
      <w:pPr>
        <w:ind w:left="1080" w:hanging="216"/>
      </w:pPr>
      <w:rPr>
        <w:rFonts w:ascii="Arial" w:hAnsi="Arial" w:hint="default"/>
      </w:rPr>
    </w:lvl>
    <w:lvl w:ilvl="5">
      <w:start w:val="1"/>
      <w:numFmt w:val="bullet"/>
      <w:lvlText w:val="–"/>
      <w:lvlJc w:val="left"/>
      <w:pPr>
        <w:ind w:left="1296" w:hanging="216"/>
      </w:pPr>
      <w:rPr>
        <w:rFonts w:ascii="Arial" w:hAnsi="Arial" w:hint="default"/>
      </w:rPr>
    </w:lvl>
    <w:lvl w:ilvl="6">
      <w:start w:val="1"/>
      <w:numFmt w:val="bullet"/>
      <w:lvlText w:val="–"/>
      <w:lvlJc w:val="left"/>
      <w:pPr>
        <w:ind w:left="1512" w:hanging="216"/>
      </w:pPr>
      <w:rPr>
        <w:rFonts w:ascii="Arial" w:hAnsi="Arial" w:hint="default"/>
      </w:rPr>
    </w:lvl>
    <w:lvl w:ilvl="7">
      <w:start w:val="1"/>
      <w:numFmt w:val="bullet"/>
      <w:lvlText w:val="–"/>
      <w:lvlJc w:val="left"/>
      <w:pPr>
        <w:ind w:left="1728" w:hanging="216"/>
      </w:pPr>
      <w:rPr>
        <w:rFonts w:ascii="Arial" w:hAnsi="Arial" w:hint="default"/>
      </w:rPr>
    </w:lvl>
    <w:lvl w:ilvl="8">
      <w:start w:val="1"/>
      <w:numFmt w:val="bullet"/>
      <w:lvlText w:val="–"/>
      <w:lvlJc w:val="left"/>
      <w:pPr>
        <w:ind w:left="1944" w:hanging="216"/>
      </w:pPr>
      <w:rPr>
        <w:rFonts w:ascii="Arial" w:hAnsi="Arial" w:hint="default"/>
      </w:rPr>
    </w:lvl>
  </w:abstractNum>
  <w:abstractNum w:abstractNumId="16" w15:restartNumberingAfterBreak="0">
    <w:nsid w:val="75F91F58"/>
    <w:multiLevelType w:val="hybridMultilevel"/>
    <w:tmpl w:val="36F4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4F41E7"/>
    <w:multiLevelType w:val="multilevel"/>
    <w:tmpl w:val="DD6AD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101C23"/>
    <w:multiLevelType w:val="hybridMultilevel"/>
    <w:tmpl w:val="6D54D0CE"/>
    <w:lvl w:ilvl="0" w:tplc="2778B496">
      <w:start w:val="1"/>
      <w:numFmt w:val="decimal"/>
      <w:pStyle w:val="References"/>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18"/>
  </w:num>
  <w:num w:numId="4">
    <w:abstractNumId w:val="14"/>
  </w:num>
  <w:num w:numId="5">
    <w:abstractNumId w:val="2"/>
  </w:num>
  <w:num w:numId="6">
    <w:abstractNumId w:val="8"/>
  </w:num>
  <w:num w:numId="7">
    <w:abstractNumId w:val="11"/>
  </w:num>
  <w:num w:numId="8">
    <w:abstractNumId w:val="1"/>
  </w:num>
  <w:num w:numId="9">
    <w:abstractNumId w:val="12"/>
  </w:num>
  <w:num w:numId="10">
    <w:abstractNumId w:val="5"/>
  </w:num>
  <w:num w:numId="11">
    <w:abstractNumId w:val="16"/>
  </w:num>
  <w:num w:numId="12">
    <w:abstractNumId w:val="7"/>
  </w:num>
  <w:num w:numId="13">
    <w:abstractNumId w:val="2"/>
  </w:num>
  <w:num w:numId="14">
    <w:abstractNumId w:val="3"/>
  </w:num>
  <w:num w:numId="15">
    <w:abstractNumId w:val="3"/>
  </w:num>
  <w:num w:numId="16">
    <w:abstractNumId w:val="3"/>
  </w:num>
  <w:num w:numId="17">
    <w:abstractNumId w:val="15"/>
  </w:num>
  <w:num w:numId="18">
    <w:abstractNumId w:val="15"/>
  </w:num>
  <w:num w:numId="19">
    <w:abstractNumId w:val="17"/>
  </w:num>
  <w:num w:numId="20">
    <w:abstractNumId w:val="10"/>
  </w:num>
  <w:num w:numId="21">
    <w:abstractNumId w:val="9"/>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4"/>
  </w:num>
  <w:num w:numId="25">
    <w:abstractNumId w:val="1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activeWritingStyle w:appName="MSWord" w:lang="fr-CH" w:vendorID="64" w:dllVersion="6" w:nlCheck="1" w:checkStyle="0"/>
  <w:activeWritingStyle w:appName="MSWord" w:lang="en-US" w:vendorID="64" w:dllVersion="6" w:nlCheck="1" w:checkStyle="1"/>
  <w:activeWritingStyle w:appName="MSWord" w:lang="de-CH" w:vendorID="64" w:dllVersion="6" w:nlCheck="1" w:checkStyle="0"/>
  <w:activeWritingStyle w:appName="MSWord" w:lang="it-IT" w:vendorID="64" w:dllVersion="6" w:nlCheck="1" w:checkStyle="0"/>
  <w:activeWritingStyle w:appName="MSWord" w:lang="fr-FR" w:vendorID="64" w:dllVersion="6" w:nlCheck="1" w:checkStyle="0"/>
  <w:activeWritingStyle w:appName="MSWord" w:lang="en-US" w:vendorID="64" w:dllVersion="0" w:nlCheck="1" w:checkStyle="0"/>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de-CH" w:vendorID="64" w:dllVersion="0" w:nlCheck="1" w:checkStyle="0"/>
  <w:activeWritingStyle w:appName="MSWord" w:lang="it-IT"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CH" w:vendorID="64" w:dllVersion="4096" w:nlCheck="1" w:checkStyle="0"/>
  <w:activeWritingStyle w:appName="MSWord" w:lang="it-IT" w:vendorID="64" w:dllVersion="4096" w:nlCheck="1" w:checkStyle="0"/>
  <w:activeWritingStyle w:appName="MSWord" w:lang="fr-FR" w:vendorID="64" w:dllVersion="4096" w:nlCheck="1" w:checkStyle="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C9A"/>
    <w:rsid w:val="0000295E"/>
    <w:rsid w:val="0000350E"/>
    <w:rsid w:val="00004069"/>
    <w:rsid w:val="00006CB9"/>
    <w:rsid w:val="00011A57"/>
    <w:rsid w:val="00013EE0"/>
    <w:rsid w:val="000165BB"/>
    <w:rsid w:val="000201CD"/>
    <w:rsid w:val="0002122F"/>
    <w:rsid w:val="00021311"/>
    <w:rsid w:val="000225B1"/>
    <w:rsid w:val="0002355C"/>
    <w:rsid w:val="0002632F"/>
    <w:rsid w:val="00026DA5"/>
    <w:rsid w:val="00027B80"/>
    <w:rsid w:val="0003416D"/>
    <w:rsid w:val="00037201"/>
    <w:rsid w:val="000414A3"/>
    <w:rsid w:val="00041738"/>
    <w:rsid w:val="0004242F"/>
    <w:rsid w:val="00042530"/>
    <w:rsid w:val="000441AD"/>
    <w:rsid w:val="00050ADC"/>
    <w:rsid w:val="000537F4"/>
    <w:rsid w:val="00053E95"/>
    <w:rsid w:val="00055615"/>
    <w:rsid w:val="000557F7"/>
    <w:rsid w:val="00061619"/>
    <w:rsid w:val="00062623"/>
    <w:rsid w:val="0006320F"/>
    <w:rsid w:val="00063246"/>
    <w:rsid w:val="00063B83"/>
    <w:rsid w:val="00064DE6"/>
    <w:rsid w:val="00071D38"/>
    <w:rsid w:val="00071F3A"/>
    <w:rsid w:val="0007210C"/>
    <w:rsid w:val="00073AF9"/>
    <w:rsid w:val="000748E7"/>
    <w:rsid w:val="00076006"/>
    <w:rsid w:val="00076E31"/>
    <w:rsid w:val="00080521"/>
    <w:rsid w:val="00080C98"/>
    <w:rsid w:val="0008144A"/>
    <w:rsid w:val="000854DE"/>
    <w:rsid w:val="0008672F"/>
    <w:rsid w:val="00087D62"/>
    <w:rsid w:val="00090B7A"/>
    <w:rsid w:val="00095CED"/>
    <w:rsid w:val="00097A53"/>
    <w:rsid w:val="000A1127"/>
    <w:rsid w:val="000A2CCC"/>
    <w:rsid w:val="000A4EB2"/>
    <w:rsid w:val="000A5E37"/>
    <w:rsid w:val="000A623E"/>
    <w:rsid w:val="000A7FAE"/>
    <w:rsid w:val="000B0896"/>
    <w:rsid w:val="000B38DB"/>
    <w:rsid w:val="000B4E89"/>
    <w:rsid w:val="000C1846"/>
    <w:rsid w:val="000C1F97"/>
    <w:rsid w:val="000C24DB"/>
    <w:rsid w:val="000C2837"/>
    <w:rsid w:val="000C2C11"/>
    <w:rsid w:val="000C3C35"/>
    <w:rsid w:val="000C65D2"/>
    <w:rsid w:val="000D0CCB"/>
    <w:rsid w:val="000D18A5"/>
    <w:rsid w:val="000D4477"/>
    <w:rsid w:val="000D6165"/>
    <w:rsid w:val="000D70F3"/>
    <w:rsid w:val="000E020B"/>
    <w:rsid w:val="000E2C66"/>
    <w:rsid w:val="000E3CED"/>
    <w:rsid w:val="000E640F"/>
    <w:rsid w:val="000E6EC1"/>
    <w:rsid w:val="000E732A"/>
    <w:rsid w:val="000F000B"/>
    <w:rsid w:val="000F1197"/>
    <w:rsid w:val="000F18E3"/>
    <w:rsid w:val="000F3CC9"/>
    <w:rsid w:val="000F538F"/>
    <w:rsid w:val="000F5C3C"/>
    <w:rsid w:val="000F5FF5"/>
    <w:rsid w:val="000F7DBC"/>
    <w:rsid w:val="001002A9"/>
    <w:rsid w:val="00104096"/>
    <w:rsid w:val="00112368"/>
    <w:rsid w:val="00113E4D"/>
    <w:rsid w:val="00115699"/>
    <w:rsid w:val="001169B8"/>
    <w:rsid w:val="00120400"/>
    <w:rsid w:val="0012225F"/>
    <w:rsid w:val="00122B93"/>
    <w:rsid w:val="00127A3C"/>
    <w:rsid w:val="001312D5"/>
    <w:rsid w:val="0013293A"/>
    <w:rsid w:val="00133673"/>
    <w:rsid w:val="001364A6"/>
    <w:rsid w:val="00140DAC"/>
    <w:rsid w:val="0014559E"/>
    <w:rsid w:val="00146798"/>
    <w:rsid w:val="00147BA9"/>
    <w:rsid w:val="001500F9"/>
    <w:rsid w:val="00150F9B"/>
    <w:rsid w:val="0015132B"/>
    <w:rsid w:val="00151D02"/>
    <w:rsid w:val="00155C64"/>
    <w:rsid w:val="00156C7C"/>
    <w:rsid w:val="00162D08"/>
    <w:rsid w:val="00163D5A"/>
    <w:rsid w:val="00165A09"/>
    <w:rsid w:val="001674FE"/>
    <w:rsid w:val="001724F1"/>
    <w:rsid w:val="001726AA"/>
    <w:rsid w:val="00176443"/>
    <w:rsid w:val="001807F7"/>
    <w:rsid w:val="0018502B"/>
    <w:rsid w:val="001854D0"/>
    <w:rsid w:val="001856A0"/>
    <w:rsid w:val="00186963"/>
    <w:rsid w:val="0019214C"/>
    <w:rsid w:val="00192417"/>
    <w:rsid w:val="0019436E"/>
    <w:rsid w:val="00196BEC"/>
    <w:rsid w:val="001A5202"/>
    <w:rsid w:val="001A636A"/>
    <w:rsid w:val="001A6B0E"/>
    <w:rsid w:val="001A6C33"/>
    <w:rsid w:val="001A7098"/>
    <w:rsid w:val="001A7551"/>
    <w:rsid w:val="001A7C88"/>
    <w:rsid w:val="001B02CD"/>
    <w:rsid w:val="001B3648"/>
    <w:rsid w:val="001B37A9"/>
    <w:rsid w:val="001B3A77"/>
    <w:rsid w:val="001B3F8F"/>
    <w:rsid w:val="001B48B4"/>
    <w:rsid w:val="001B57D0"/>
    <w:rsid w:val="001B6B42"/>
    <w:rsid w:val="001C07FF"/>
    <w:rsid w:val="001C0E4E"/>
    <w:rsid w:val="001C286C"/>
    <w:rsid w:val="001C2B69"/>
    <w:rsid w:val="001C35C6"/>
    <w:rsid w:val="001C3AD2"/>
    <w:rsid w:val="001C3ADE"/>
    <w:rsid w:val="001C3E01"/>
    <w:rsid w:val="001C40B0"/>
    <w:rsid w:val="001C61DD"/>
    <w:rsid w:val="001C7B81"/>
    <w:rsid w:val="001D2A31"/>
    <w:rsid w:val="001D4173"/>
    <w:rsid w:val="001D5C22"/>
    <w:rsid w:val="001E0473"/>
    <w:rsid w:val="001E2D0E"/>
    <w:rsid w:val="001E3C51"/>
    <w:rsid w:val="001E40D8"/>
    <w:rsid w:val="001E60B9"/>
    <w:rsid w:val="001E705F"/>
    <w:rsid w:val="001E7A95"/>
    <w:rsid w:val="001F071C"/>
    <w:rsid w:val="001F166F"/>
    <w:rsid w:val="001F2105"/>
    <w:rsid w:val="001F2ECC"/>
    <w:rsid w:val="001F3232"/>
    <w:rsid w:val="001F56EF"/>
    <w:rsid w:val="00201591"/>
    <w:rsid w:val="00203054"/>
    <w:rsid w:val="00203A23"/>
    <w:rsid w:val="00206DD5"/>
    <w:rsid w:val="0021297C"/>
    <w:rsid w:val="00215E83"/>
    <w:rsid w:val="0021669D"/>
    <w:rsid w:val="00217C53"/>
    <w:rsid w:val="00224CB1"/>
    <w:rsid w:val="0022761B"/>
    <w:rsid w:val="00231213"/>
    <w:rsid w:val="002348C0"/>
    <w:rsid w:val="0023545B"/>
    <w:rsid w:val="0023610C"/>
    <w:rsid w:val="0023679B"/>
    <w:rsid w:val="00237568"/>
    <w:rsid w:val="002428B9"/>
    <w:rsid w:val="00246D19"/>
    <w:rsid w:val="0025093E"/>
    <w:rsid w:val="00254C56"/>
    <w:rsid w:val="00256ADC"/>
    <w:rsid w:val="002576BF"/>
    <w:rsid w:val="002607C8"/>
    <w:rsid w:val="00260AC6"/>
    <w:rsid w:val="00261B0C"/>
    <w:rsid w:val="00261BF6"/>
    <w:rsid w:val="0026229B"/>
    <w:rsid w:val="002626C2"/>
    <w:rsid w:val="00263C23"/>
    <w:rsid w:val="00263E41"/>
    <w:rsid w:val="00266609"/>
    <w:rsid w:val="002668DE"/>
    <w:rsid w:val="0026786B"/>
    <w:rsid w:val="00271077"/>
    <w:rsid w:val="00271086"/>
    <w:rsid w:val="002714D9"/>
    <w:rsid w:val="002717E4"/>
    <w:rsid w:val="00273F89"/>
    <w:rsid w:val="00276647"/>
    <w:rsid w:val="00277A35"/>
    <w:rsid w:val="00277D59"/>
    <w:rsid w:val="00281E44"/>
    <w:rsid w:val="00283351"/>
    <w:rsid w:val="00284648"/>
    <w:rsid w:val="00286168"/>
    <w:rsid w:val="002870E7"/>
    <w:rsid w:val="0028789F"/>
    <w:rsid w:val="00293AA9"/>
    <w:rsid w:val="00295452"/>
    <w:rsid w:val="0029670F"/>
    <w:rsid w:val="002A228B"/>
    <w:rsid w:val="002A33F3"/>
    <w:rsid w:val="002A56A3"/>
    <w:rsid w:val="002A5AD2"/>
    <w:rsid w:val="002B1AA0"/>
    <w:rsid w:val="002B211A"/>
    <w:rsid w:val="002B3130"/>
    <w:rsid w:val="002B391C"/>
    <w:rsid w:val="002B4F30"/>
    <w:rsid w:val="002B51B0"/>
    <w:rsid w:val="002B5307"/>
    <w:rsid w:val="002B679F"/>
    <w:rsid w:val="002B6BD7"/>
    <w:rsid w:val="002C0558"/>
    <w:rsid w:val="002C1237"/>
    <w:rsid w:val="002C5550"/>
    <w:rsid w:val="002C6EC4"/>
    <w:rsid w:val="002D3490"/>
    <w:rsid w:val="002D3C6A"/>
    <w:rsid w:val="002E306C"/>
    <w:rsid w:val="002E36A3"/>
    <w:rsid w:val="002E3AFF"/>
    <w:rsid w:val="002E58BD"/>
    <w:rsid w:val="002F0EFC"/>
    <w:rsid w:val="002F42D1"/>
    <w:rsid w:val="002F4612"/>
    <w:rsid w:val="002F4E50"/>
    <w:rsid w:val="00300F87"/>
    <w:rsid w:val="00305023"/>
    <w:rsid w:val="003053F1"/>
    <w:rsid w:val="00307164"/>
    <w:rsid w:val="0031152E"/>
    <w:rsid w:val="003115E4"/>
    <w:rsid w:val="00311F37"/>
    <w:rsid w:val="003127DA"/>
    <w:rsid w:val="003215B7"/>
    <w:rsid w:val="00324521"/>
    <w:rsid w:val="00325840"/>
    <w:rsid w:val="00326C4C"/>
    <w:rsid w:val="00326EF3"/>
    <w:rsid w:val="00330F73"/>
    <w:rsid w:val="00335B01"/>
    <w:rsid w:val="00337043"/>
    <w:rsid w:val="00337E6C"/>
    <w:rsid w:val="00341FDF"/>
    <w:rsid w:val="00342C3C"/>
    <w:rsid w:val="00342E1B"/>
    <w:rsid w:val="003438B0"/>
    <w:rsid w:val="0034448D"/>
    <w:rsid w:val="00346385"/>
    <w:rsid w:val="0035020F"/>
    <w:rsid w:val="00350CE0"/>
    <w:rsid w:val="00360C8B"/>
    <w:rsid w:val="003611EE"/>
    <w:rsid w:val="00361F50"/>
    <w:rsid w:val="00363008"/>
    <w:rsid w:val="003701ED"/>
    <w:rsid w:val="00371115"/>
    <w:rsid w:val="00371F77"/>
    <w:rsid w:val="00372D9E"/>
    <w:rsid w:val="00380C2F"/>
    <w:rsid w:val="003832CC"/>
    <w:rsid w:val="003832F5"/>
    <w:rsid w:val="00385369"/>
    <w:rsid w:val="0038716B"/>
    <w:rsid w:val="00391915"/>
    <w:rsid w:val="00391A5F"/>
    <w:rsid w:val="00393461"/>
    <w:rsid w:val="00394426"/>
    <w:rsid w:val="00394A38"/>
    <w:rsid w:val="00394A6C"/>
    <w:rsid w:val="00394D27"/>
    <w:rsid w:val="00397EAE"/>
    <w:rsid w:val="003A287C"/>
    <w:rsid w:val="003A2B6C"/>
    <w:rsid w:val="003A42B0"/>
    <w:rsid w:val="003A4A85"/>
    <w:rsid w:val="003A5217"/>
    <w:rsid w:val="003A5590"/>
    <w:rsid w:val="003A65AF"/>
    <w:rsid w:val="003A6738"/>
    <w:rsid w:val="003B0B09"/>
    <w:rsid w:val="003B0BF5"/>
    <w:rsid w:val="003B0BFA"/>
    <w:rsid w:val="003B173F"/>
    <w:rsid w:val="003B7B2A"/>
    <w:rsid w:val="003C1B5B"/>
    <w:rsid w:val="003C420A"/>
    <w:rsid w:val="003C70DC"/>
    <w:rsid w:val="003D1086"/>
    <w:rsid w:val="003D2176"/>
    <w:rsid w:val="003D3027"/>
    <w:rsid w:val="003D6FD7"/>
    <w:rsid w:val="003D716E"/>
    <w:rsid w:val="003E1926"/>
    <w:rsid w:val="003E2BA9"/>
    <w:rsid w:val="003E3B9E"/>
    <w:rsid w:val="003E422D"/>
    <w:rsid w:val="003E4E25"/>
    <w:rsid w:val="003E748C"/>
    <w:rsid w:val="003F0818"/>
    <w:rsid w:val="003F403A"/>
    <w:rsid w:val="003F465B"/>
    <w:rsid w:val="003F531B"/>
    <w:rsid w:val="003F68DA"/>
    <w:rsid w:val="003F6E9B"/>
    <w:rsid w:val="003F767A"/>
    <w:rsid w:val="004002D2"/>
    <w:rsid w:val="0040168F"/>
    <w:rsid w:val="00402342"/>
    <w:rsid w:val="004052F4"/>
    <w:rsid w:val="00406B70"/>
    <w:rsid w:val="004106E2"/>
    <w:rsid w:val="00411CEB"/>
    <w:rsid w:val="00414346"/>
    <w:rsid w:val="00414C71"/>
    <w:rsid w:val="00417C5E"/>
    <w:rsid w:val="00422107"/>
    <w:rsid w:val="00423322"/>
    <w:rsid w:val="004256EB"/>
    <w:rsid w:val="00426F58"/>
    <w:rsid w:val="0043671A"/>
    <w:rsid w:val="0043690B"/>
    <w:rsid w:val="004424FF"/>
    <w:rsid w:val="00442899"/>
    <w:rsid w:val="00443B12"/>
    <w:rsid w:val="00444762"/>
    <w:rsid w:val="00453B1C"/>
    <w:rsid w:val="00454472"/>
    <w:rsid w:val="0045695F"/>
    <w:rsid w:val="00456ED2"/>
    <w:rsid w:val="004573C5"/>
    <w:rsid w:val="00457492"/>
    <w:rsid w:val="004623AC"/>
    <w:rsid w:val="00464C12"/>
    <w:rsid w:val="0046539B"/>
    <w:rsid w:val="00465BF5"/>
    <w:rsid w:val="00474A20"/>
    <w:rsid w:val="00474C02"/>
    <w:rsid w:val="00474EDB"/>
    <w:rsid w:val="00482C21"/>
    <w:rsid w:val="00482CC0"/>
    <w:rsid w:val="00483318"/>
    <w:rsid w:val="0048442B"/>
    <w:rsid w:val="00485271"/>
    <w:rsid w:val="00487CCC"/>
    <w:rsid w:val="00490418"/>
    <w:rsid w:val="00493E99"/>
    <w:rsid w:val="004940F2"/>
    <w:rsid w:val="00494C9B"/>
    <w:rsid w:val="00494EF2"/>
    <w:rsid w:val="00495340"/>
    <w:rsid w:val="004965B9"/>
    <w:rsid w:val="00497AC5"/>
    <w:rsid w:val="004A1563"/>
    <w:rsid w:val="004A2079"/>
    <w:rsid w:val="004A2680"/>
    <w:rsid w:val="004A3367"/>
    <w:rsid w:val="004A40ED"/>
    <w:rsid w:val="004A4C1E"/>
    <w:rsid w:val="004A585D"/>
    <w:rsid w:val="004A5DAF"/>
    <w:rsid w:val="004B00CF"/>
    <w:rsid w:val="004B1375"/>
    <w:rsid w:val="004B1832"/>
    <w:rsid w:val="004B56F1"/>
    <w:rsid w:val="004C07C2"/>
    <w:rsid w:val="004C18CE"/>
    <w:rsid w:val="004C1971"/>
    <w:rsid w:val="004C573E"/>
    <w:rsid w:val="004C58BC"/>
    <w:rsid w:val="004C6C28"/>
    <w:rsid w:val="004D1676"/>
    <w:rsid w:val="004D79BD"/>
    <w:rsid w:val="004D7BFC"/>
    <w:rsid w:val="004E3789"/>
    <w:rsid w:val="004F00E1"/>
    <w:rsid w:val="004F08BE"/>
    <w:rsid w:val="004F3CAA"/>
    <w:rsid w:val="004F458B"/>
    <w:rsid w:val="004F48DF"/>
    <w:rsid w:val="004F584C"/>
    <w:rsid w:val="004F5969"/>
    <w:rsid w:val="004F7819"/>
    <w:rsid w:val="00505B0B"/>
    <w:rsid w:val="005075F9"/>
    <w:rsid w:val="00510722"/>
    <w:rsid w:val="005138FA"/>
    <w:rsid w:val="0051519D"/>
    <w:rsid w:val="0051622E"/>
    <w:rsid w:val="0051752F"/>
    <w:rsid w:val="00522E44"/>
    <w:rsid w:val="00523620"/>
    <w:rsid w:val="005258F2"/>
    <w:rsid w:val="00526367"/>
    <w:rsid w:val="00527F78"/>
    <w:rsid w:val="00530502"/>
    <w:rsid w:val="00531AE2"/>
    <w:rsid w:val="00533818"/>
    <w:rsid w:val="00544F72"/>
    <w:rsid w:val="00545970"/>
    <w:rsid w:val="0054702A"/>
    <w:rsid w:val="005470F4"/>
    <w:rsid w:val="00547517"/>
    <w:rsid w:val="005506D8"/>
    <w:rsid w:val="005514BB"/>
    <w:rsid w:val="00551716"/>
    <w:rsid w:val="00554911"/>
    <w:rsid w:val="00554A9B"/>
    <w:rsid w:val="0055565A"/>
    <w:rsid w:val="00555A94"/>
    <w:rsid w:val="005627E5"/>
    <w:rsid w:val="00565DDA"/>
    <w:rsid w:val="0056650F"/>
    <w:rsid w:val="00567126"/>
    <w:rsid w:val="00570300"/>
    <w:rsid w:val="005709FC"/>
    <w:rsid w:val="00571D62"/>
    <w:rsid w:val="005725C9"/>
    <w:rsid w:val="00572DDC"/>
    <w:rsid w:val="00573FB9"/>
    <w:rsid w:val="005760C6"/>
    <w:rsid w:val="0058096F"/>
    <w:rsid w:val="00582148"/>
    <w:rsid w:val="00582ACA"/>
    <w:rsid w:val="00582F24"/>
    <w:rsid w:val="00584BA5"/>
    <w:rsid w:val="00585E58"/>
    <w:rsid w:val="00586F9E"/>
    <w:rsid w:val="00590812"/>
    <w:rsid w:val="00593B7F"/>
    <w:rsid w:val="005950EA"/>
    <w:rsid w:val="00595899"/>
    <w:rsid w:val="00595F69"/>
    <w:rsid w:val="005A073F"/>
    <w:rsid w:val="005A0CC5"/>
    <w:rsid w:val="005A4F36"/>
    <w:rsid w:val="005A6104"/>
    <w:rsid w:val="005A6AA3"/>
    <w:rsid w:val="005B327F"/>
    <w:rsid w:val="005B79D1"/>
    <w:rsid w:val="005C113B"/>
    <w:rsid w:val="005C2205"/>
    <w:rsid w:val="005C2495"/>
    <w:rsid w:val="005C4BD1"/>
    <w:rsid w:val="005C639A"/>
    <w:rsid w:val="005D2409"/>
    <w:rsid w:val="005D31DE"/>
    <w:rsid w:val="005D349B"/>
    <w:rsid w:val="005D46D0"/>
    <w:rsid w:val="005D4864"/>
    <w:rsid w:val="005D5C14"/>
    <w:rsid w:val="005D5FED"/>
    <w:rsid w:val="005E0059"/>
    <w:rsid w:val="005E0E0D"/>
    <w:rsid w:val="005E1E79"/>
    <w:rsid w:val="005E3C3F"/>
    <w:rsid w:val="005E48AC"/>
    <w:rsid w:val="005E4FF5"/>
    <w:rsid w:val="005E68D9"/>
    <w:rsid w:val="005F096E"/>
    <w:rsid w:val="005F0BE4"/>
    <w:rsid w:val="005F19D4"/>
    <w:rsid w:val="005F4B10"/>
    <w:rsid w:val="005F4F8A"/>
    <w:rsid w:val="005F5424"/>
    <w:rsid w:val="005F553B"/>
    <w:rsid w:val="005F66C9"/>
    <w:rsid w:val="006009B6"/>
    <w:rsid w:val="006015C1"/>
    <w:rsid w:val="006018F1"/>
    <w:rsid w:val="006024BC"/>
    <w:rsid w:val="00604608"/>
    <w:rsid w:val="00604F57"/>
    <w:rsid w:val="00605C04"/>
    <w:rsid w:val="006069F0"/>
    <w:rsid w:val="0061257F"/>
    <w:rsid w:val="006213F5"/>
    <w:rsid w:val="00622B50"/>
    <w:rsid w:val="00624FBE"/>
    <w:rsid w:val="00631364"/>
    <w:rsid w:val="006317DD"/>
    <w:rsid w:val="006374B5"/>
    <w:rsid w:val="006376CE"/>
    <w:rsid w:val="00640183"/>
    <w:rsid w:val="00640AE3"/>
    <w:rsid w:val="0064161A"/>
    <w:rsid w:val="00641F11"/>
    <w:rsid w:val="00642A07"/>
    <w:rsid w:val="0064444C"/>
    <w:rsid w:val="00645C78"/>
    <w:rsid w:val="0065053D"/>
    <w:rsid w:val="00652B9E"/>
    <w:rsid w:val="0065397A"/>
    <w:rsid w:val="006564B2"/>
    <w:rsid w:val="00656B48"/>
    <w:rsid w:val="00656C2D"/>
    <w:rsid w:val="00661D4E"/>
    <w:rsid w:val="006647AF"/>
    <w:rsid w:val="0066586F"/>
    <w:rsid w:val="0066607E"/>
    <w:rsid w:val="006678B3"/>
    <w:rsid w:val="00670E2C"/>
    <w:rsid w:val="00671A41"/>
    <w:rsid w:val="006732F5"/>
    <w:rsid w:val="00675F77"/>
    <w:rsid w:val="00677DEE"/>
    <w:rsid w:val="006843C9"/>
    <w:rsid w:val="0068729A"/>
    <w:rsid w:val="00690973"/>
    <w:rsid w:val="00691FBE"/>
    <w:rsid w:val="006947D5"/>
    <w:rsid w:val="006962C3"/>
    <w:rsid w:val="00697BF0"/>
    <w:rsid w:val="006A27D4"/>
    <w:rsid w:val="006A2911"/>
    <w:rsid w:val="006A2DC3"/>
    <w:rsid w:val="006A4962"/>
    <w:rsid w:val="006B17FD"/>
    <w:rsid w:val="006B25EA"/>
    <w:rsid w:val="006B2687"/>
    <w:rsid w:val="006B3195"/>
    <w:rsid w:val="006B3E52"/>
    <w:rsid w:val="006B486B"/>
    <w:rsid w:val="006B4889"/>
    <w:rsid w:val="006B7538"/>
    <w:rsid w:val="006C17F6"/>
    <w:rsid w:val="006C3EBD"/>
    <w:rsid w:val="006C42A8"/>
    <w:rsid w:val="006C5F74"/>
    <w:rsid w:val="006D0346"/>
    <w:rsid w:val="006D3203"/>
    <w:rsid w:val="006D55F6"/>
    <w:rsid w:val="006D57A0"/>
    <w:rsid w:val="006D6B53"/>
    <w:rsid w:val="006D6C1A"/>
    <w:rsid w:val="006E0477"/>
    <w:rsid w:val="006E1F9B"/>
    <w:rsid w:val="006E25E8"/>
    <w:rsid w:val="006E4BDC"/>
    <w:rsid w:val="006E504F"/>
    <w:rsid w:val="006E5CC7"/>
    <w:rsid w:val="006E6184"/>
    <w:rsid w:val="006E7053"/>
    <w:rsid w:val="006E72DA"/>
    <w:rsid w:val="006F0591"/>
    <w:rsid w:val="006F25CA"/>
    <w:rsid w:val="006F2C3A"/>
    <w:rsid w:val="006F3151"/>
    <w:rsid w:val="006F4CD0"/>
    <w:rsid w:val="006F5610"/>
    <w:rsid w:val="006F63AB"/>
    <w:rsid w:val="006F68A7"/>
    <w:rsid w:val="00700158"/>
    <w:rsid w:val="007011B3"/>
    <w:rsid w:val="007020C0"/>
    <w:rsid w:val="00704ABC"/>
    <w:rsid w:val="00707807"/>
    <w:rsid w:val="007111C9"/>
    <w:rsid w:val="00711927"/>
    <w:rsid w:val="00715E9D"/>
    <w:rsid w:val="007162B2"/>
    <w:rsid w:val="00717876"/>
    <w:rsid w:val="0072013F"/>
    <w:rsid w:val="00723535"/>
    <w:rsid w:val="0072465A"/>
    <w:rsid w:val="00724EB7"/>
    <w:rsid w:val="00725FC8"/>
    <w:rsid w:val="0072658F"/>
    <w:rsid w:val="007300C0"/>
    <w:rsid w:val="00731922"/>
    <w:rsid w:val="00732631"/>
    <w:rsid w:val="00732852"/>
    <w:rsid w:val="007334AE"/>
    <w:rsid w:val="00735ADD"/>
    <w:rsid w:val="007376DD"/>
    <w:rsid w:val="0073788A"/>
    <w:rsid w:val="00737C6C"/>
    <w:rsid w:val="0074262E"/>
    <w:rsid w:val="00742D4C"/>
    <w:rsid w:val="0074660D"/>
    <w:rsid w:val="007466F0"/>
    <w:rsid w:val="007501B0"/>
    <w:rsid w:val="00752FFC"/>
    <w:rsid w:val="00755679"/>
    <w:rsid w:val="0075609C"/>
    <w:rsid w:val="00760157"/>
    <w:rsid w:val="0076088D"/>
    <w:rsid w:val="00761CF2"/>
    <w:rsid w:val="00763306"/>
    <w:rsid w:val="00763E47"/>
    <w:rsid w:val="0076442E"/>
    <w:rsid w:val="00765A61"/>
    <w:rsid w:val="00765B97"/>
    <w:rsid w:val="00766152"/>
    <w:rsid w:val="0077092E"/>
    <w:rsid w:val="00771246"/>
    <w:rsid w:val="00772060"/>
    <w:rsid w:val="00772BD3"/>
    <w:rsid w:val="00772FC5"/>
    <w:rsid w:val="00773FF9"/>
    <w:rsid w:val="00774AF2"/>
    <w:rsid w:val="00774C96"/>
    <w:rsid w:val="007760A5"/>
    <w:rsid w:val="00777176"/>
    <w:rsid w:val="00781ED9"/>
    <w:rsid w:val="00783731"/>
    <w:rsid w:val="0078468B"/>
    <w:rsid w:val="0078491E"/>
    <w:rsid w:val="00786E4F"/>
    <w:rsid w:val="0078739F"/>
    <w:rsid w:val="007915BA"/>
    <w:rsid w:val="0079632D"/>
    <w:rsid w:val="007A0DA3"/>
    <w:rsid w:val="007A3953"/>
    <w:rsid w:val="007A3A6C"/>
    <w:rsid w:val="007A66B8"/>
    <w:rsid w:val="007B17EC"/>
    <w:rsid w:val="007B21DE"/>
    <w:rsid w:val="007B2440"/>
    <w:rsid w:val="007B32D1"/>
    <w:rsid w:val="007C00E5"/>
    <w:rsid w:val="007C0119"/>
    <w:rsid w:val="007C0FD9"/>
    <w:rsid w:val="007C125F"/>
    <w:rsid w:val="007C3EBE"/>
    <w:rsid w:val="007C5D0D"/>
    <w:rsid w:val="007C6BF4"/>
    <w:rsid w:val="007D0826"/>
    <w:rsid w:val="007D1C88"/>
    <w:rsid w:val="007D6642"/>
    <w:rsid w:val="007E0B4F"/>
    <w:rsid w:val="007E115B"/>
    <w:rsid w:val="007E1311"/>
    <w:rsid w:val="007E4562"/>
    <w:rsid w:val="007E5930"/>
    <w:rsid w:val="007E65F0"/>
    <w:rsid w:val="007E7121"/>
    <w:rsid w:val="007F59A7"/>
    <w:rsid w:val="007F5F34"/>
    <w:rsid w:val="007F6299"/>
    <w:rsid w:val="007F679B"/>
    <w:rsid w:val="007F6A4A"/>
    <w:rsid w:val="008011CF"/>
    <w:rsid w:val="008022B0"/>
    <w:rsid w:val="008028EF"/>
    <w:rsid w:val="00803901"/>
    <w:rsid w:val="008040AC"/>
    <w:rsid w:val="00804335"/>
    <w:rsid w:val="00804336"/>
    <w:rsid w:val="00804979"/>
    <w:rsid w:val="00806CA3"/>
    <w:rsid w:val="00810418"/>
    <w:rsid w:val="00810D8F"/>
    <w:rsid w:val="00811777"/>
    <w:rsid w:val="00814433"/>
    <w:rsid w:val="00814A53"/>
    <w:rsid w:val="00814E6D"/>
    <w:rsid w:val="00815FE8"/>
    <w:rsid w:val="0081699F"/>
    <w:rsid w:val="00816C71"/>
    <w:rsid w:val="00821375"/>
    <w:rsid w:val="00822FB0"/>
    <w:rsid w:val="008238A1"/>
    <w:rsid w:val="00826AA4"/>
    <w:rsid w:val="00830CEB"/>
    <w:rsid w:val="00831D00"/>
    <w:rsid w:val="00834F40"/>
    <w:rsid w:val="008356E9"/>
    <w:rsid w:val="008359CB"/>
    <w:rsid w:val="00836542"/>
    <w:rsid w:val="008409AB"/>
    <w:rsid w:val="00843B68"/>
    <w:rsid w:val="00843BF4"/>
    <w:rsid w:val="00843CA6"/>
    <w:rsid w:val="00844735"/>
    <w:rsid w:val="00844D15"/>
    <w:rsid w:val="00852473"/>
    <w:rsid w:val="00856125"/>
    <w:rsid w:val="00857C61"/>
    <w:rsid w:val="00860FEA"/>
    <w:rsid w:val="008623A7"/>
    <w:rsid w:val="00863961"/>
    <w:rsid w:val="00864278"/>
    <w:rsid w:val="0086452B"/>
    <w:rsid w:val="00864863"/>
    <w:rsid w:val="00864F53"/>
    <w:rsid w:val="0086532D"/>
    <w:rsid w:val="0087036A"/>
    <w:rsid w:val="0087237D"/>
    <w:rsid w:val="00876707"/>
    <w:rsid w:val="008831FE"/>
    <w:rsid w:val="00883913"/>
    <w:rsid w:val="008844FB"/>
    <w:rsid w:val="00884C25"/>
    <w:rsid w:val="00886F97"/>
    <w:rsid w:val="00893211"/>
    <w:rsid w:val="00893A97"/>
    <w:rsid w:val="00896EB7"/>
    <w:rsid w:val="00897597"/>
    <w:rsid w:val="008A195A"/>
    <w:rsid w:val="008A206D"/>
    <w:rsid w:val="008A4623"/>
    <w:rsid w:val="008A719B"/>
    <w:rsid w:val="008B18F7"/>
    <w:rsid w:val="008B264E"/>
    <w:rsid w:val="008B2F9D"/>
    <w:rsid w:val="008B3B5E"/>
    <w:rsid w:val="008B41E2"/>
    <w:rsid w:val="008B4825"/>
    <w:rsid w:val="008B5030"/>
    <w:rsid w:val="008B6656"/>
    <w:rsid w:val="008C04E5"/>
    <w:rsid w:val="008C275D"/>
    <w:rsid w:val="008C27C3"/>
    <w:rsid w:val="008C4A67"/>
    <w:rsid w:val="008C7298"/>
    <w:rsid w:val="008D02EF"/>
    <w:rsid w:val="008D06CD"/>
    <w:rsid w:val="008D2B3C"/>
    <w:rsid w:val="008D3122"/>
    <w:rsid w:val="008D3454"/>
    <w:rsid w:val="008D4129"/>
    <w:rsid w:val="008D5254"/>
    <w:rsid w:val="008D6B02"/>
    <w:rsid w:val="008D7CFC"/>
    <w:rsid w:val="008E2300"/>
    <w:rsid w:val="008E359E"/>
    <w:rsid w:val="008E444E"/>
    <w:rsid w:val="008F11DD"/>
    <w:rsid w:val="008F1ABF"/>
    <w:rsid w:val="008F2C01"/>
    <w:rsid w:val="008F407F"/>
    <w:rsid w:val="008F5212"/>
    <w:rsid w:val="008F6076"/>
    <w:rsid w:val="008F6315"/>
    <w:rsid w:val="008F6824"/>
    <w:rsid w:val="008F700C"/>
    <w:rsid w:val="008F7E59"/>
    <w:rsid w:val="0090369E"/>
    <w:rsid w:val="00905314"/>
    <w:rsid w:val="00905E0F"/>
    <w:rsid w:val="00905E48"/>
    <w:rsid w:val="009062F5"/>
    <w:rsid w:val="00913301"/>
    <w:rsid w:val="009138A0"/>
    <w:rsid w:val="009149CC"/>
    <w:rsid w:val="00914B26"/>
    <w:rsid w:val="009157AF"/>
    <w:rsid w:val="00915D76"/>
    <w:rsid w:val="009164EF"/>
    <w:rsid w:val="00917EEE"/>
    <w:rsid w:val="009213E4"/>
    <w:rsid w:val="00922456"/>
    <w:rsid w:val="00922B23"/>
    <w:rsid w:val="009245A8"/>
    <w:rsid w:val="009252CE"/>
    <w:rsid w:val="00927273"/>
    <w:rsid w:val="00927E04"/>
    <w:rsid w:val="009304A7"/>
    <w:rsid w:val="009338D0"/>
    <w:rsid w:val="009350A8"/>
    <w:rsid w:val="00935E65"/>
    <w:rsid w:val="0094084D"/>
    <w:rsid w:val="00943733"/>
    <w:rsid w:val="00943777"/>
    <w:rsid w:val="0094706B"/>
    <w:rsid w:val="00947CC0"/>
    <w:rsid w:val="0095135D"/>
    <w:rsid w:val="0095277F"/>
    <w:rsid w:val="00955E11"/>
    <w:rsid w:val="00956BF2"/>
    <w:rsid w:val="00957531"/>
    <w:rsid w:val="009579AB"/>
    <w:rsid w:val="00963895"/>
    <w:rsid w:val="00964734"/>
    <w:rsid w:val="00964A17"/>
    <w:rsid w:val="00964B89"/>
    <w:rsid w:val="00966AA6"/>
    <w:rsid w:val="00966ACE"/>
    <w:rsid w:val="00967970"/>
    <w:rsid w:val="00970D6F"/>
    <w:rsid w:val="00971887"/>
    <w:rsid w:val="009720BE"/>
    <w:rsid w:val="00972136"/>
    <w:rsid w:val="009722DE"/>
    <w:rsid w:val="00973002"/>
    <w:rsid w:val="00973084"/>
    <w:rsid w:val="009763D6"/>
    <w:rsid w:val="009765E8"/>
    <w:rsid w:val="009778C5"/>
    <w:rsid w:val="00977B32"/>
    <w:rsid w:val="00980746"/>
    <w:rsid w:val="00982701"/>
    <w:rsid w:val="009839AA"/>
    <w:rsid w:val="00984380"/>
    <w:rsid w:val="00985F52"/>
    <w:rsid w:val="00990D53"/>
    <w:rsid w:val="00991F3F"/>
    <w:rsid w:val="00992F39"/>
    <w:rsid w:val="00994301"/>
    <w:rsid w:val="00996601"/>
    <w:rsid w:val="009A003B"/>
    <w:rsid w:val="009A1799"/>
    <w:rsid w:val="009A29AA"/>
    <w:rsid w:val="009A5738"/>
    <w:rsid w:val="009B02B9"/>
    <w:rsid w:val="009B0703"/>
    <w:rsid w:val="009B0C64"/>
    <w:rsid w:val="009B2AF3"/>
    <w:rsid w:val="009C0488"/>
    <w:rsid w:val="009C1AA8"/>
    <w:rsid w:val="009C2922"/>
    <w:rsid w:val="009C3EA0"/>
    <w:rsid w:val="009C573B"/>
    <w:rsid w:val="009D109C"/>
    <w:rsid w:val="009D7072"/>
    <w:rsid w:val="009E1319"/>
    <w:rsid w:val="009E3576"/>
    <w:rsid w:val="009E3DBD"/>
    <w:rsid w:val="009E4574"/>
    <w:rsid w:val="009E4CBF"/>
    <w:rsid w:val="009F080E"/>
    <w:rsid w:val="009F13C2"/>
    <w:rsid w:val="009F1DC9"/>
    <w:rsid w:val="009F244B"/>
    <w:rsid w:val="009F3A30"/>
    <w:rsid w:val="009F4255"/>
    <w:rsid w:val="009F4A30"/>
    <w:rsid w:val="009F5C0E"/>
    <w:rsid w:val="009F6BB9"/>
    <w:rsid w:val="00A00A1E"/>
    <w:rsid w:val="00A04B2F"/>
    <w:rsid w:val="00A06817"/>
    <w:rsid w:val="00A06F7A"/>
    <w:rsid w:val="00A0761C"/>
    <w:rsid w:val="00A120A3"/>
    <w:rsid w:val="00A13A4A"/>
    <w:rsid w:val="00A13C72"/>
    <w:rsid w:val="00A16987"/>
    <w:rsid w:val="00A17A33"/>
    <w:rsid w:val="00A2267B"/>
    <w:rsid w:val="00A2363B"/>
    <w:rsid w:val="00A23DB0"/>
    <w:rsid w:val="00A24EC3"/>
    <w:rsid w:val="00A26A95"/>
    <w:rsid w:val="00A26BAF"/>
    <w:rsid w:val="00A331D1"/>
    <w:rsid w:val="00A339D9"/>
    <w:rsid w:val="00A35DA2"/>
    <w:rsid w:val="00A3785E"/>
    <w:rsid w:val="00A40E1E"/>
    <w:rsid w:val="00A445EA"/>
    <w:rsid w:val="00A4612D"/>
    <w:rsid w:val="00A47229"/>
    <w:rsid w:val="00A47C14"/>
    <w:rsid w:val="00A51318"/>
    <w:rsid w:val="00A53142"/>
    <w:rsid w:val="00A57B81"/>
    <w:rsid w:val="00A60BED"/>
    <w:rsid w:val="00A62708"/>
    <w:rsid w:val="00A6341E"/>
    <w:rsid w:val="00A634B4"/>
    <w:rsid w:val="00A63512"/>
    <w:rsid w:val="00A641D5"/>
    <w:rsid w:val="00A66B48"/>
    <w:rsid w:val="00A72DB0"/>
    <w:rsid w:val="00A746C4"/>
    <w:rsid w:val="00A74B54"/>
    <w:rsid w:val="00A76D13"/>
    <w:rsid w:val="00A77E12"/>
    <w:rsid w:val="00A81C0D"/>
    <w:rsid w:val="00A820AB"/>
    <w:rsid w:val="00A825A0"/>
    <w:rsid w:val="00A84019"/>
    <w:rsid w:val="00A84191"/>
    <w:rsid w:val="00A85F18"/>
    <w:rsid w:val="00A91F11"/>
    <w:rsid w:val="00A92060"/>
    <w:rsid w:val="00A92890"/>
    <w:rsid w:val="00A9381C"/>
    <w:rsid w:val="00A93DA2"/>
    <w:rsid w:val="00A9561B"/>
    <w:rsid w:val="00A9742E"/>
    <w:rsid w:val="00AA1A68"/>
    <w:rsid w:val="00AA6B74"/>
    <w:rsid w:val="00AA76E0"/>
    <w:rsid w:val="00AA76FF"/>
    <w:rsid w:val="00AB3FF3"/>
    <w:rsid w:val="00AB5097"/>
    <w:rsid w:val="00AB66E4"/>
    <w:rsid w:val="00AC02BA"/>
    <w:rsid w:val="00AC03DE"/>
    <w:rsid w:val="00AC3723"/>
    <w:rsid w:val="00AC45E8"/>
    <w:rsid w:val="00AC6801"/>
    <w:rsid w:val="00AD1CEF"/>
    <w:rsid w:val="00AD1F1E"/>
    <w:rsid w:val="00AD2FF3"/>
    <w:rsid w:val="00AD3C3E"/>
    <w:rsid w:val="00AD3CC9"/>
    <w:rsid w:val="00AD7645"/>
    <w:rsid w:val="00AE2014"/>
    <w:rsid w:val="00AE41A5"/>
    <w:rsid w:val="00AE42FB"/>
    <w:rsid w:val="00AE5621"/>
    <w:rsid w:val="00AE6520"/>
    <w:rsid w:val="00AE66AC"/>
    <w:rsid w:val="00AE728F"/>
    <w:rsid w:val="00AF2D34"/>
    <w:rsid w:val="00AF2F12"/>
    <w:rsid w:val="00AF3167"/>
    <w:rsid w:val="00AF54F8"/>
    <w:rsid w:val="00AF56D2"/>
    <w:rsid w:val="00AF6072"/>
    <w:rsid w:val="00AF64DA"/>
    <w:rsid w:val="00AF7C4F"/>
    <w:rsid w:val="00B01046"/>
    <w:rsid w:val="00B02708"/>
    <w:rsid w:val="00B03226"/>
    <w:rsid w:val="00B038D5"/>
    <w:rsid w:val="00B03B07"/>
    <w:rsid w:val="00B04AC8"/>
    <w:rsid w:val="00B0590B"/>
    <w:rsid w:val="00B06269"/>
    <w:rsid w:val="00B06502"/>
    <w:rsid w:val="00B070D3"/>
    <w:rsid w:val="00B077C8"/>
    <w:rsid w:val="00B10BDB"/>
    <w:rsid w:val="00B12398"/>
    <w:rsid w:val="00B12C77"/>
    <w:rsid w:val="00B164D9"/>
    <w:rsid w:val="00B16A23"/>
    <w:rsid w:val="00B202F6"/>
    <w:rsid w:val="00B2042B"/>
    <w:rsid w:val="00B2048F"/>
    <w:rsid w:val="00B2128E"/>
    <w:rsid w:val="00B236F0"/>
    <w:rsid w:val="00B23A77"/>
    <w:rsid w:val="00B26187"/>
    <w:rsid w:val="00B31019"/>
    <w:rsid w:val="00B3155F"/>
    <w:rsid w:val="00B346EC"/>
    <w:rsid w:val="00B34BF9"/>
    <w:rsid w:val="00B35177"/>
    <w:rsid w:val="00B4110C"/>
    <w:rsid w:val="00B41A4F"/>
    <w:rsid w:val="00B42624"/>
    <w:rsid w:val="00B446B3"/>
    <w:rsid w:val="00B45B6D"/>
    <w:rsid w:val="00B519A2"/>
    <w:rsid w:val="00B529FF"/>
    <w:rsid w:val="00B62201"/>
    <w:rsid w:val="00B62219"/>
    <w:rsid w:val="00B6546F"/>
    <w:rsid w:val="00B667D3"/>
    <w:rsid w:val="00B704BA"/>
    <w:rsid w:val="00B709E8"/>
    <w:rsid w:val="00B71029"/>
    <w:rsid w:val="00B72097"/>
    <w:rsid w:val="00B73F1A"/>
    <w:rsid w:val="00B74BB7"/>
    <w:rsid w:val="00B83089"/>
    <w:rsid w:val="00B84B2A"/>
    <w:rsid w:val="00B85C66"/>
    <w:rsid w:val="00B864DE"/>
    <w:rsid w:val="00B87E2F"/>
    <w:rsid w:val="00B937F0"/>
    <w:rsid w:val="00B95B06"/>
    <w:rsid w:val="00B96983"/>
    <w:rsid w:val="00B9785C"/>
    <w:rsid w:val="00B97AB9"/>
    <w:rsid w:val="00BA0378"/>
    <w:rsid w:val="00BA08E6"/>
    <w:rsid w:val="00BA0FA6"/>
    <w:rsid w:val="00BA5E58"/>
    <w:rsid w:val="00BA79A0"/>
    <w:rsid w:val="00BB2438"/>
    <w:rsid w:val="00BB3CE0"/>
    <w:rsid w:val="00BB6E64"/>
    <w:rsid w:val="00BC2121"/>
    <w:rsid w:val="00BC2E70"/>
    <w:rsid w:val="00BC4168"/>
    <w:rsid w:val="00BC46B7"/>
    <w:rsid w:val="00BC4CCD"/>
    <w:rsid w:val="00BC5910"/>
    <w:rsid w:val="00BD32FD"/>
    <w:rsid w:val="00BD5D61"/>
    <w:rsid w:val="00BE0C21"/>
    <w:rsid w:val="00BE2D27"/>
    <w:rsid w:val="00BE4939"/>
    <w:rsid w:val="00BE51FD"/>
    <w:rsid w:val="00BE57BA"/>
    <w:rsid w:val="00BF0B92"/>
    <w:rsid w:val="00BF39E5"/>
    <w:rsid w:val="00BF5DE7"/>
    <w:rsid w:val="00BF61CD"/>
    <w:rsid w:val="00C014DC"/>
    <w:rsid w:val="00C022BF"/>
    <w:rsid w:val="00C0278A"/>
    <w:rsid w:val="00C1044E"/>
    <w:rsid w:val="00C1370E"/>
    <w:rsid w:val="00C14010"/>
    <w:rsid w:val="00C1432F"/>
    <w:rsid w:val="00C159EA"/>
    <w:rsid w:val="00C16A5D"/>
    <w:rsid w:val="00C21E2B"/>
    <w:rsid w:val="00C23DB5"/>
    <w:rsid w:val="00C25014"/>
    <w:rsid w:val="00C2713A"/>
    <w:rsid w:val="00C308A7"/>
    <w:rsid w:val="00C321F0"/>
    <w:rsid w:val="00C356AA"/>
    <w:rsid w:val="00C36692"/>
    <w:rsid w:val="00C36D3B"/>
    <w:rsid w:val="00C4403B"/>
    <w:rsid w:val="00C442D2"/>
    <w:rsid w:val="00C44479"/>
    <w:rsid w:val="00C45FEE"/>
    <w:rsid w:val="00C46602"/>
    <w:rsid w:val="00C51310"/>
    <w:rsid w:val="00C51B7C"/>
    <w:rsid w:val="00C52530"/>
    <w:rsid w:val="00C52D87"/>
    <w:rsid w:val="00C52EEF"/>
    <w:rsid w:val="00C544E1"/>
    <w:rsid w:val="00C545F7"/>
    <w:rsid w:val="00C54ACF"/>
    <w:rsid w:val="00C56356"/>
    <w:rsid w:val="00C60BFF"/>
    <w:rsid w:val="00C63248"/>
    <w:rsid w:val="00C63AF8"/>
    <w:rsid w:val="00C645E4"/>
    <w:rsid w:val="00C72E9A"/>
    <w:rsid w:val="00C75ECC"/>
    <w:rsid w:val="00C7600B"/>
    <w:rsid w:val="00C76AD4"/>
    <w:rsid w:val="00C76ECF"/>
    <w:rsid w:val="00C816B3"/>
    <w:rsid w:val="00C8331C"/>
    <w:rsid w:val="00C87895"/>
    <w:rsid w:val="00C91136"/>
    <w:rsid w:val="00C91628"/>
    <w:rsid w:val="00C92E11"/>
    <w:rsid w:val="00C94C9A"/>
    <w:rsid w:val="00C94F8A"/>
    <w:rsid w:val="00CA04BE"/>
    <w:rsid w:val="00CA0B6D"/>
    <w:rsid w:val="00CA1497"/>
    <w:rsid w:val="00CA42C9"/>
    <w:rsid w:val="00CA4C17"/>
    <w:rsid w:val="00CA567C"/>
    <w:rsid w:val="00CA59BB"/>
    <w:rsid w:val="00CB082F"/>
    <w:rsid w:val="00CB0944"/>
    <w:rsid w:val="00CB0DA2"/>
    <w:rsid w:val="00CB1195"/>
    <w:rsid w:val="00CB201B"/>
    <w:rsid w:val="00CB4AAE"/>
    <w:rsid w:val="00CB5FC9"/>
    <w:rsid w:val="00CB7694"/>
    <w:rsid w:val="00CB7F84"/>
    <w:rsid w:val="00CC0645"/>
    <w:rsid w:val="00CC122E"/>
    <w:rsid w:val="00CC1837"/>
    <w:rsid w:val="00CC19AA"/>
    <w:rsid w:val="00CC290C"/>
    <w:rsid w:val="00CC2E91"/>
    <w:rsid w:val="00CC4562"/>
    <w:rsid w:val="00CC5588"/>
    <w:rsid w:val="00CC68E6"/>
    <w:rsid w:val="00CC6F1E"/>
    <w:rsid w:val="00CC7287"/>
    <w:rsid w:val="00CC74B4"/>
    <w:rsid w:val="00CC7A9F"/>
    <w:rsid w:val="00CD1886"/>
    <w:rsid w:val="00CD3B9F"/>
    <w:rsid w:val="00CD5BC3"/>
    <w:rsid w:val="00CD5CC7"/>
    <w:rsid w:val="00CE59FD"/>
    <w:rsid w:val="00CE6043"/>
    <w:rsid w:val="00CE706F"/>
    <w:rsid w:val="00CF0531"/>
    <w:rsid w:val="00CF27ED"/>
    <w:rsid w:val="00CF32B6"/>
    <w:rsid w:val="00D03F98"/>
    <w:rsid w:val="00D041AF"/>
    <w:rsid w:val="00D069E8"/>
    <w:rsid w:val="00D07636"/>
    <w:rsid w:val="00D07B49"/>
    <w:rsid w:val="00D11BD0"/>
    <w:rsid w:val="00D1230E"/>
    <w:rsid w:val="00D12AEC"/>
    <w:rsid w:val="00D14339"/>
    <w:rsid w:val="00D14EBD"/>
    <w:rsid w:val="00D15245"/>
    <w:rsid w:val="00D16968"/>
    <w:rsid w:val="00D1731D"/>
    <w:rsid w:val="00D17ADD"/>
    <w:rsid w:val="00D17D82"/>
    <w:rsid w:val="00D303C2"/>
    <w:rsid w:val="00D317DF"/>
    <w:rsid w:val="00D33288"/>
    <w:rsid w:val="00D346AF"/>
    <w:rsid w:val="00D357C3"/>
    <w:rsid w:val="00D4048F"/>
    <w:rsid w:val="00D40A48"/>
    <w:rsid w:val="00D40F88"/>
    <w:rsid w:val="00D42622"/>
    <w:rsid w:val="00D45CAB"/>
    <w:rsid w:val="00D46E3D"/>
    <w:rsid w:val="00D50B9C"/>
    <w:rsid w:val="00D50BF1"/>
    <w:rsid w:val="00D50CD9"/>
    <w:rsid w:val="00D53B38"/>
    <w:rsid w:val="00D60445"/>
    <w:rsid w:val="00D607C8"/>
    <w:rsid w:val="00D60A66"/>
    <w:rsid w:val="00D61079"/>
    <w:rsid w:val="00D614AB"/>
    <w:rsid w:val="00D61D95"/>
    <w:rsid w:val="00D61FE6"/>
    <w:rsid w:val="00D63795"/>
    <w:rsid w:val="00D64327"/>
    <w:rsid w:val="00D660F2"/>
    <w:rsid w:val="00D72378"/>
    <w:rsid w:val="00D77CF5"/>
    <w:rsid w:val="00D80408"/>
    <w:rsid w:val="00D843C1"/>
    <w:rsid w:val="00D86138"/>
    <w:rsid w:val="00D87737"/>
    <w:rsid w:val="00D93260"/>
    <w:rsid w:val="00D94D8B"/>
    <w:rsid w:val="00D9568B"/>
    <w:rsid w:val="00D964C4"/>
    <w:rsid w:val="00D96B6A"/>
    <w:rsid w:val="00DA0367"/>
    <w:rsid w:val="00DA0CF8"/>
    <w:rsid w:val="00DA122F"/>
    <w:rsid w:val="00DA4299"/>
    <w:rsid w:val="00DA4B29"/>
    <w:rsid w:val="00DA610C"/>
    <w:rsid w:val="00DA6353"/>
    <w:rsid w:val="00DB0D17"/>
    <w:rsid w:val="00DB0D90"/>
    <w:rsid w:val="00DB0DB0"/>
    <w:rsid w:val="00DB5D3D"/>
    <w:rsid w:val="00DB7D5A"/>
    <w:rsid w:val="00DB7E91"/>
    <w:rsid w:val="00DC285A"/>
    <w:rsid w:val="00DC2E61"/>
    <w:rsid w:val="00DC3284"/>
    <w:rsid w:val="00DC5E28"/>
    <w:rsid w:val="00DC69B0"/>
    <w:rsid w:val="00DC7915"/>
    <w:rsid w:val="00DC7AA6"/>
    <w:rsid w:val="00DD000B"/>
    <w:rsid w:val="00DD086A"/>
    <w:rsid w:val="00DD14C3"/>
    <w:rsid w:val="00DD17FD"/>
    <w:rsid w:val="00DD1B10"/>
    <w:rsid w:val="00DD3444"/>
    <w:rsid w:val="00DD4ED1"/>
    <w:rsid w:val="00DD68DD"/>
    <w:rsid w:val="00DD7828"/>
    <w:rsid w:val="00DE0271"/>
    <w:rsid w:val="00DE31F6"/>
    <w:rsid w:val="00DE3C23"/>
    <w:rsid w:val="00DE5AEE"/>
    <w:rsid w:val="00DF2996"/>
    <w:rsid w:val="00DF48F0"/>
    <w:rsid w:val="00DF5142"/>
    <w:rsid w:val="00DF59B4"/>
    <w:rsid w:val="00DF5F61"/>
    <w:rsid w:val="00DF7019"/>
    <w:rsid w:val="00DF70E6"/>
    <w:rsid w:val="00DF7248"/>
    <w:rsid w:val="00DF7A89"/>
    <w:rsid w:val="00E05831"/>
    <w:rsid w:val="00E070A0"/>
    <w:rsid w:val="00E149F7"/>
    <w:rsid w:val="00E14E6E"/>
    <w:rsid w:val="00E14F36"/>
    <w:rsid w:val="00E164FC"/>
    <w:rsid w:val="00E16AC5"/>
    <w:rsid w:val="00E17119"/>
    <w:rsid w:val="00E20E25"/>
    <w:rsid w:val="00E20F52"/>
    <w:rsid w:val="00E2240F"/>
    <w:rsid w:val="00E23AC4"/>
    <w:rsid w:val="00E26816"/>
    <w:rsid w:val="00E2696B"/>
    <w:rsid w:val="00E33181"/>
    <w:rsid w:val="00E33B03"/>
    <w:rsid w:val="00E3689B"/>
    <w:rsid w:val="00E37C9A"/>
    <w:rsid w:val="00E4185A"/>
    <w:rsid w:val="00E43C17"/>
    <w:rsid w:val="00E43E96"/>
    <w:rsid w:val="00E443C8"/>
    <w:rsid w:val="00E4524B"/>
    <w:rsid w:val="00E4720C"/>
    <w:rsid w:val="00E55C97"/>
    <w:rsid w:val="00E601E2"/>
    <w:rsid w:val="00E63B25"/>
    <w:rsid w:val="00E64696"/>
    <w:rsid w:val="00E6591B"/>
    <w:rsid w:val="00E664F2"/>
    <w:rsid w:val="00E66E65"/>
    <w:rsid w:val="00E72473"/>
    <w:rsid w:val="00E72C6C"/>
    <w:rsid w:val="00E737D7"/>
    <w:rsid w:val="00E73994"/>
    <w:rsid w:val="00E76E0D"/>
    <w:rsid w:val="00E77BB4"/>
    <w:rsid w:val="00E8411A"/>
    <w:rsid w:val="00E84749"/>
    <w:rsid w:val="00E874BD"/>
    <w:rsid w:val="00E90B94"/>
    <w:rsid w:val="00E90CB9"/>
    <w:rsid w:val="00E911E8"/>
    <w:rsid w:val="00E91FFA"/>
    <w:rsid w:val="00E92C24"/>
    <w:rsid w:val="00E93228"/>
    <w:rsid w:val="00E9584B"/>
    <w:rsid w:val="00E96CF0"/>
    <w:rsid w:val="00EA077B"/>
    <w:rsid w:val="00EA15A4"/>
    <w:rsid w:val="00EA2E05"/>
    <w:rsid w:val="00EA2E9A"/>
    <w:rsid w:val="00EA615A"/>
    <w:rsid w:val="00EB13D8"/>
    <w:rsid w:val="00EB1E6D"/>
    <w:rsid w:val="00EB6321"/>
    <w:rsid w:val="00EC2278"/>
    <w:rsid w:val="00EC5E40"/>
    <w:rsid w:val="00EC6492"/>
    <w:rsid w:val="00EC69A3"/>
    <w:rsid w:val="00EC711E"/>
    <w:rsid w:val="00ED1FE8"/>
    <w:rsid w:val="00ED248D"/>
    <w:rsid w:val="00ED2B4C"/>
    <w:rsid w:val="00ED3510"/>
    <w:rsid w:val="00ED5D9A"/>
    <w:rsid w:val="00EE0346"/>
    <w:rsid w:val="00EE1459"/>
    <w:rsid w:val="00EE2184"/>
    <w:rsid w:val="00EE2448"/>
    <w:rsid w:val="00EE2493"/>
    <w:rsid w:val="00EE5CDB"/>
    <w:rsid w:val="00EE75AF"/>
    <w:rsid w:val="00EE7E03"/>
    <w:rsid w:val="00EF113E"/>
    <w:rsid w:val="00EF1D72"/>
    <w:rsid w:val="00EF43EA"/>
    <w:rsid w:val="00EF4763"/>
    <w:rsid w:val="00EF56D5"/>
    <w:rsid w:val="00EF62F6"/>
    <w:rsid w:val="00EF6FA2"/>
    <w:rsid w:val="00F01A3A"/>
    <w:rsid w:val="00F03508"/>
    <w:rsid w:val="00F04F85"/>
    <w:rsid w:val="00F0678A"/>
    <w:rsid w:val="00F068DB"/>
    <w:rsid w:val="00F134B6"/>
    <w:rsid w:val="00F14520"/>
    <w:rsid w:val="00F1487A"/>
    <w:rsid w:val="00F151EF"/>
    <w:rsid w:val="00F178B8"/>
    <w:rsid w:val="00F2132F"/>
    <w:rsid w:val="00F21AA6"/>
    <w:rsid w:val="00F21BFF"/>
    <w:rsid w:val="00F22DD6"/>
    <w:rsid w:val="00F23DBD"/>
    <w:rsid w:val="00F262F8"/>
    <w:rsid w:val="00F26A29"/>
    <w:rsid w:val="00F26C19"/>
    <w:rsid w:val="00F274B1"/>
    <w:rsid w:val="00F27988"/>
    <w:rsid w:val="00F32B1A"/>
    <w:rsid w:val="00F34DBE"/>
    <w:rsid w:val="00F407AA"/>
    <w:rsid w:val="00F42A7A"/>
    <w:rsid w:val="00F458CC"/>
    <w:rsid w:val="00F45A83"/>
    <w:rsid w:val="00F467F2"/>
    <w:rsid w:val="00F46E9F"/>
    <w:rsid w:val="00F470C6"/>
    <w:rsid w:val="00F54D01"/>
    <w:rsid w:val="00F57A32"/>
    <w:rsid w:val="00F62B86"/>
    <w:rsid w:val="00F66663"/>
    <w:rsid w:val="00F66D0E"/>
    <w:rsid w:val="00F6702C"/>
    <w:rsid w:val="00F70CB5"/>
    <w:rsid w:val="00F70DA4"/>
    <w:rsid w:val="00F712A7"/>
    <w:rsid w:val="00F71386"/>
    <w:rsid w:val="00F72D25"/>
    <w:rsid w:val="00F73251"/>
    <w:rsid w:val="00F74407"/>
    <w:rsid w:val="00F74609"/>
    <w:rsid w:val="00F7606E"/>
    <w:rsid w:val="00F805FB"/>
    <w:rsid w:val="00F8072D"/>
    <w:rsid w:val="00F80BE0"/>
    <w:rsid w:val="00F824EA"/>
    <w:rsid w:val="00F82B9A"/>
    <w:rsid w:val="00F8783E"/>
    <w:rsid w:val="00F948A3"/>
    <w:rsid w:val="00F960B8"/>
    <w:rsid w:val="00F961B0"/>
    <w:rsid w:val="00F972B7"/>
    <w:rsid w:val="00FA083E"/>
    <w:rsid w:val="00FA638E"/>
    <w:rsid w:val="00FB04DC"/>
    <w:rsid w:val="00FB0EEB"/>
    <w:rsid w:val="00FB22AC"/>
    <w:rsid w:val="00FB2B49"/>
    <w:rsid w:val="00FB5A6B"/>
    <w:rsid w:val="00FB6B24"/>
    <w:rsid w:val="00FC128A"/>
    <w:rsid w:val="00FC1455"/>
    <w:rsid w:val="00FD2DEE"/>
    <w:rsid w:val="00FD4527"/>
    <w:rsid w:val="00FD68C4"/>
    <w:rsid w:val="00FD69BB"/>
    <w:rsid w:val="00FD70AA"/>
    <w:rsid w:val="00FD7494"/>
    <w:rsid w:val="00FE5253"/>
    <w:rsid w:val="00FE7CF1"/>
    <w:rsid w:val="00FF0C9F"/>
    <w:rsid w:val="00FF15BD"/>
    <w:rsid w:val="00FF1DB7"/>
    <w:rsid w:val="00FF2FAA"/>
    <w:rsid w:val="00FF3929"/>
    <w:rsid w:val="00FF6A5A"/>
    <w:rsid w:val="071CA574"/>
    <w:rsid w:val="3B09E7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6416B3"/>
  <w15:docId w15:val="{DC82C2DD-B3AC-4F61-A963-0660B5CD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2060"/>
    <w:pPr>
      <w:spacing w:after="0" w:line="240" w:lineRule="atLeast"/>
    </w:pPr>
    <w:rPr>
      <w:sz w:val="20"/>
      <w:szCs w:val="20"/>
    </w:rPr>
  </w:style>
  <w:style w:type="paragraph" w:styleId="Titolo1">
    <w:name w:val="heading 1"/>
    <w:basedOn w:val="Normale"/>
    <w:next w:val="Normale"/>
    <w:link w:val="Titolo1Carattere"/>
    <w:uiPriority w:val="9"/>
    <w:qFormat/>
    <w:rsid w:val="00826AA4"/>
    <w:pPr>
      <w:keepNext/>
      <w:keepLines/>
      <w:spacing w:after="240" w:line="360" w:lineRule="atLeast"/>
      <w:outlineLvl w:val="0"/>
    </w:pPr>
    <w:rPr>
      <w:rFonts w:asciiTheme="majorHAnsi" w:eastAsiaTheme="majorEastAsia" w:hAnsiTheme="majorHAnsi" w:cstheme="majorBidi"/>
      <w:b/>
      <w:bCs/>
      <w:sz w:val="32"/>
      <w:szCs w:val="32"/>
    </w:rPr>
  </w:style>
  <w:style w:type="paragraph" w:styleId="Titolo2">
    <w:name w:val="heading 2"/>
    <w:basedOn w:val="Normale"/>
    <w:next w:val="Normale"/>
    <w:link w:val="Titolo2Carattere"/>
    <w:uiPriority w:val="9"/>
    <w:qFormat/>
    <w:rsid w:val="005C639A"/>
    <w:pPr>
      <w:keepNext/>
      <w:keepLines/>
      <w:spacing w:after="60" w:line="280" w:lineRule="atLeast"/>
      <w:outlineLvl w:val="1"/>
    </w:pPr>
    <w:rPr>
      <w:rFonts w:asciiTheme="majorHAnsi" w:eastAsiaTheme="majorEastAsia" w:hAnsiTheme="majorHAnsi" w:cstheme="majorBidi"/>
      <w:b/>
      <w:bCs/>
      <w:sz w:val="24"/>
      <w:szCs w:val="24"/>
    </w:rPr>
  </w:style>
  <w:style w:type="paragraph" w:styleId="Titolo3">
    <w:name w:val="heading 3"/>
    <w:basedOn w:val="Normale"/>
    <w:next w:val="Normale"/>
    <w:link w:val="Titolo3Carattere"/>
    <w:uiPriority w:val="9"/>
    <w:qFormat/>
    <w:rsid w:val="00A16987"/>
    <w:pPr>
      <w:keepNext/>
      <w:keepLines/>
      <w:spacing w:after="60"/>
      <w:outlineLvl w:val="2"/>
    </w:pPr>
    <w:rPr>
      <w:rFonts w:asciiTheme="majorHAnsi" w:eastAsiaTheme="majorEastAsia" w:hAnsiTheme="majorHAnsi" w:cstheme="majorBidi"/>
      <w:b/>
      <w:bCs/>
      <w:color w:val="0460A9"/>
    </w:rPr>
  </w:style>
  <w:style w:type="paragraph" w:styleId="Titolo4">
    <w:name w:val="heading 4"/>
    <w:basedOn w:val="Normale"/>
    <w:next w:val="Normale"/>
    <w:link w:val="Titolo4Carattere"/>
    <w:uiPriority w:val="9"/>
    <w:semiHidden/>
    <w:unhideWhenUsed/>
    <w:qFormat/>
    <w:rsid w:val="00956BF2"/>
    <w:pPr>
      <w:keepNext/>
      <w:keepLines/>
      <w:spacing w:before="40"/>
      <w:outlineLvl w:val="3"/>
    </w:pPr>
    <w:rPr>
      <w:rFonts w:asciiTheme="majorHAnsi" w:eastAsiaTheme="majorEastAsia" w:hAnsiTheme="majorHAnsi" w:cstheme="majorBidi"/>
      <w:i/>
      <w:iCs/>
      <w:color w:val="03477E"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11CEB"/>
  </w:style>
  <w:style w:type="character" w:customStyle="1" w:styleId="IntestazioneCarattere">
    <w:name w:val="Intestazione Carattere"/>
    <w:basedOn w:val="Carpredefinitoparagrafo"/>
    <w:link w:val="Intestazione"/>
    <w:uiPriority w:val="99"/>
    <w:rsid w:val="00411CEB"/>
    <w:rPr>
      <w:sz w:val="20"/>
      <w:szCs w:val="20"/>
    </w:rPr>
  </w:style>
  <w:style w:type="paragraph" w:styleId="Pidipagina">
    <w:name w:val="footer"/>
    <w:basedOn w:val="Normale"/>
    <w:link w:val="PidipaginaCarattere"/>
    <w:uiPriority w:val="99"/>
    <w:unhideWhenUsed/>
    <w:rsid w:val="00411CEB"/>
  </w:style>
  <w:style w:type="character" w:customStyle="1" w:styleId="PidipaginaCarattere">
    <w:name w:val="Piè di pagina Carattere"/>
    <w:basedOn w:val="Carpredefinitoparagrafo"/>
    <w:link w:val="Pidipagina"/>
    <w:uiPriority w:val="99"/>
    <w:rsid w:val="00411CEB"/>
    <w:rPr>
      <w:sz w:val="20"/>
      <w:szCs w:val="20"/>
    </w:rPr>
  </w:style>
  <w:style w:type="character" w:styleId="Collegamentoipertestuale">
    <w:name w:val="Hyperlink"/>
    <w:basedOn w:val="Carpredefinitoparagrafo"/>
    <w:uiPriority w:val="99"/>
    <w:unhideWhenUsed/>
    <w:rsid w:val="00652B9E"/>
    <w:rPr>
      <w:color w:val="auto"/>
      <w:u w:val="none"/>
    </w:rPr>
  </w:style>
  <w:style w:type="character" w:styleId="Collegamentovisitato">
    <w:name w:val="FollowedHyperlink"/>
    <w:basedOn w:val="Carpredefinitoparagrafo"/>
    <w:uiPriority w:val="99"/>
    <w:semiHidden/>
    <w:unhideWhenUsed/>
    <w:rsid w:val="00652B9E"/>
    <w:rPr>
      <w:color w:val="auto"/>
      <w:u w:val="none"/>
    </w:rPr>
  </w:style>
  <w:style w:type="paragraph" w:styleId="Paragrafoelenco">
    <w:name w:val="List Paragraph"/>
    <w:aliases w:val="Bullet List,FooterText,List Paragraph1,numbered,Paragraphe de liste1,Bulletr List Paragraph,列出段落,列出段落1,List Paragraph2,List Paragraph21,Parágrafo da Lista1,リスト段落1,List Paragraph11,Listeafsnit1,Párrafo de lista1,List with no spacing,Plan"/>
    <w:basedOn w:val="Normale"/>
    <w:link w:val="ParagrafoelencoCarattere"/>
    <w:uiPriority w:val="34"/>
    <w:qFormat/>
    <w:rsid w:val="002870E7"/>
    <w:pPr>
      <w:ind w:left="720"/>
      <w:contextualSpacing/>
    </w:pPr>
  </w:style>
  <w:style w:type="table" w:styleId="Grigliatabella">
    <w:name w:val="Table Grid"/>
    <w:basedOn w:val="Tabellanormale"/>
    <w:uiPriority w:val="59"/>
    <w:rsid w:val="00A16987"/>
    <w:pPr>
      <w:spacing w:after="0" w:line="240" w:lineRule="auto"/>
    </w:pPr>
    <w:tblPr>
      <w:tblBorders>
        <w:top w:val="single" w:sz="4" w:space="0" w:color="auto"/>
        <w:bottom w:val="single" w:sz="4" w:space="0" w:color="auto"/>
        <w:insideH w:val="single" w:sz="4" w:space="0" w:color="auto"/>
      </w:tblBorders>
      <w:tblCellMar>
        <w:top w:w="72" w:type="dxa"/>
        <w:left w:w="0" w:type="dxa"/>
        <w:bottom w:w="72" w:type="dxa"/>
        <w:right w:w="0" w:type="dxa"/>
      </w:tblCellMar>
    </w:tblPr>
    <w:tblStylePr w:type="firstRow">
      <w:rPr>
        <w:b/>
        <w:bCs/>
        <w:i w:val="0"/>
        <w:iCs w:val="0"/>
        <w:color w:val="0460A9"/>
      </w:rPr>
      <w:tblPr/>
      <w:tcPr>
        <w:tcBorders>
          <w:top w:val="nil"/>
          <w:left w:val="nil"/>
          <w:bottom w:val="single" w:sz="8" w:space="0" w:color="0460A9"/>
          <w:right w:val="nil"/>
          <w:insideH w:val="nil"/>
          <w:insideV w:val="nil"/>
          <w:tl2br w:val="nil"/>
          <w:tr2bl w:val="nil"/>
        </w:tcBorders>
      </w:tcPr>
    </w:tblStylePr>
  </w:style>
  <w:style w:type="paragraph" w:customStyle="1" w:styleId="Bullets">
    <w:name w:val="Bullets"/>
    <w:basedOn w:val="Paragrafoelenco"/>
    <w:uiPriority w:val="9"/>
    <w:qFormat/>
    <w:rsid w:val="00FD68C4"/>
    <w:pPr>
      <w:numPr>
        <w:numId w:val="1"/>
      </w:numPr>
      <w:contextualSpacing w:val="0"/>
    </w:pPr>
  </w:style>
  <w:style w:type="paragraph" w:customStyle="1" w:styleId="BusinessUnit">
    <w:name w:val="Business Unit"/>
    <w:basedOn w:val="Normale"/>
    <w:uiPriority w:val="9"/>
    <w:rsid w:val="00DD17FD"/>
    <w:pPr>
      <w:spacing w:line="200" w:lineRule="atLeast"/>
    </w:pPr>
    <w:rPr>
      <w:b/>
      <w:bCs/>
      <w:color w:val="0460A9" w:themeColor="accent1"/>
      <w:sz w:val="16"/>
      <w:szCs w:val="16"/>
    </w:rPr>
  </w:style>
  <w:style w:type="paragraph" w:customStyle="1" w:styleId="Footnote">
    <w:name w:val="Footnote"/>
    <w:basedOn w:val="Normale"/>
    <w:uiPriority w:val="9"/>
    <w:qFormat/>
    <w:rsid w:val="00AD1F1E"/>
    <w:pPr>
      <w:spacing w:line="140" w:lineRule="atLeast"/>
    </w:pPr>
    <w:rPr>
      <w:sz w:val="12"/>
      <w:szCs w:val="12"/>
    </w:rPr>
  </w:style>
  <w:style w:type="character" w:customStyle="1" w:styleId="Titolo1Carattere">
    <w:name w:val="Titolo 1 Carattere"/>
    <w:basedOn w:val="Carpredefinitoparagrafo"/>
    <w:link w:val="Titolo1"/>
    <w:uiPriority w:val="9"/>
    <w:rsid w:val="00826AA4"/>
    <w:rPr>
      <w:rFonts w:asciiTheme="majorHAnsi" w:eastAsiaTheme="majorEastAsia" w:hAnsiTheme="majorHAnsi" w:cstheme="majorBidi"/>
      <w:b/>
      <w:bCs/>
      <w:sz w:val="32"/>
      <w:szCs w:val="32"/>
    </w:rPr>
  </w:style>
  <w:style w:type="character" w:customStyle="1" w:styleId="Titolo2Carattere">
    <w:name w:val="Titolo 2 Carattere"/>
    <w:basedOn w:val="Carpredefinitoparagrafo"/>
    <w:link w:val="Titolo2"/>
    <w:uiPriority w:val="9"/>
    <w:rsid w:val="00394A6C"/>
    <w:rPr>
      <w:rFonts w:asciiTheme="majorHAnsi" w:eastAsiaTheme="majorEastAsia" w:hAnsiTheme="majorHAnsi" w:cstheme="majorBidi"/>
      <w:b/>
      <w:bCs/>
      <w:sz w:val="24"/>
      <w:szCs w:val="24"/>
    </w:rPr>
  </w:style>
  <w:style w:type="character" w:customStyle="1" w:styleId="Titolo3Carattere">
    <w:name w:val="Titolo 3 Carattere"/>
    <w:basedOn w:val="Carpredefinitoparagrafo"/>
    <w:link w:val="Titolo3"/>
    <w:uiPriority w:val="9"/>
    <w:rsid w:val="00A16987"/>
    <w:rPr>
      <w:rFonts w:asciiTheme="majorHAnsi" w:eastAsiaTheme="majorEastAsia" w:hAnsiTheme="majorHAnsi" w:cstheme="majorBidi"/>
      <w:b/>
      <w:bCs/>
      <w:color w:val="0460A9"/>
      <w:sz w:val="20"/>
      <w:szCs w:val="20"/>
    </w:rPr>
  </w:style>
  <w:style w:type="paragraph" w:customStyle="1" w:styleId="Numbers">
    <w:name w:val="Numbers"/>
    <w:basedOn w:val="Paragrafoelenco"/>
    <w:uiPriority w:val="9"/>
    <w:qFormat/>
    <w:rsid w:val="00927E04"/>
    <w:pPr>
      <w:numPr>
        <w:numId w:val="2"/>
      </w:numPr>
    </w:pPr>
  </w:style>
  <w:style w:type="character" w:customStyle="1" w:styleId="UnresolvedMention1">
    <w:name w:val="Unresolved Mention1"/>
    <w:basedOn w:val="Carpredefinitoparagrafo"/>
    <w:uiPriority w:val="99"/>
    <w:semiHidden/>
    <w:unhideWhenUsed/>
    <w:rsid w:val="00C94C9A"/>
    <w:rPr>
      <w:color w:val="605E5C"/>
      <w:shd w:val="clear" w:color="auto" w:fill="E1DFDD"/>
    </w:rPr>
  </w:style>
  <w:style w:type="character" w:customStyle="1" w:styleId="ParagrafoelencoCarattere">
    <w:name w:val="Paragrafo elenco Carattere"/>
    <w:aliases w:val="Bullet List Carattere,FooterText Carattere,List Paragraph1 Carattere,numbered Carattere,Paragraphe de liste1 Carattere,Bulletr List Paragraph Carattere,列出段落 Carattere,列出段落1 Carattere,List Paragraph2 Carattere,リスト段落1 Carattere"/>
    <w:basedOn w:val="Carpredefinitoparagrafo"/>
    <w:link w:val="Paragrafoelenco"/>
    <w:uiPriority w:val="34"/>
    <w:locked/>
    <w:rsid w:val="00494EF2"/>
    <w:rPr>
      <w:sz w:val="20"/>
      <w:szCs w:val="20"/>
    </w:rPr>
  </w:style>
  <w:style w:type="paragraph" w:customStyle="1" w:styleId="Default">
    <w:name w:val="Default"/>
    <w:rsid w:val="0090369E"/>
    <w:pPr>
      <w:autoSpaceDE w:val="0"/>
      <w:autoSpaceDN w:val="0"/>
      <w:adjustRightInd w:val="0"/>
      <w:spacing w:after="0" w:line="240" w:lineRule="auto"/>
    </w:pPr>
    <w:rPr>
      <w:rFonts w:ascii="Arial" w:eastAsia="Arial" w:hAnsi="Arial" w:cs="Arial"/>
      <w:color w:val="000000"/>
      <w:sz w:val="24"/>
      <w:szCs w:val="24"/>
      <w:lang w:val="en-GB"/>
    </w:rPr>
  </w:style>
  <w:style w:type="paragraph" w:customStyle="1" w:styleId="Subhead">
    <w:name w:val="Subhead"/>
    <w:basedOn w:val="Normale"/>
    <w:next w:val="Normale"/>
    <w:uiPriority w:val="9"/>
    <w:qFormat/>
    <w:rsid w:val="006A27D4"/>
    <w:pPr>
      <w:keepNext/>
      <w:keepLines/>
    </w:pPr>
    <w:rPr>
      <w:b/>
    </w:rPr>
  </w:style>
  <w:style w:type="paragraph" w:customStyle="1" w:styleId="References">
    <w:name w:val="References"/>
    <w:basedOn w:val="Paragrafoelenco"/>
    <w:uiPriority w:val="9"/>
    <w:qFormat/>
    <w:rsid w:val="006A27D4"/>
    <w:pPr>
      <w:numPr>
        <w:numId w:val="3"/>
      </w:numPr>
      <w:spacing w:line="200" w:lineRule="atLeast"/>
      <w:ind w:left="289" w:hanging="289"/>
    </w:pPr>
    <w:rPr>
      <w:sz w:val="16"/>
      <w:szCs w:val="16"/>
    </w:rPr>
  </w:style>
  <w:style w:type="paragraph" w:styleId="Testofumetto">
    <w:name w:val="Balloon Text"/>
    <w:basedOn w:val="Normale"/>
    <w:link w:val="TestofumettoCarattere"/>
    <w:uiPriority w:val="99"/>
    <w:semiHidden/>
    <w:unhideWhenUsed/>
    <w:rsid w:val="00C645E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645E4"/>
    <w:rPr>
      <w:rFonts w:ascii="Segoe UI" w:hAnsi="Segoe UI" w:cs="Segoe UI"/>
      <w:sz w:val="18"/>
      <w:szCs w:val="18"/>
    </w:rPr>
  </w:style>
  <w:style w:type="character" w:styleId="Enfasicorsivo">
    <w:name w:val="Emphasis"/>
    <w:basedOn w:val="Carpredefinitoparagrafo"/>
    <w:uiPriority w:val="20"/>
    <w:qFormat/>
    <w:rsid w:val="00645C78"/>
    <w:rPr>
      <w:i/>
      <w:iCs/>
    </w:rPr>
  </w:style>
  <w:style w:type="character" w:styleId="Rimandocommento">
    <w:name w:val="annotation reference"/>
    <w:basedOn w:val="Carpredefinitoparagrafo"/>
    <w:uiPriority w:val="99"/>
    <w:semiHidden/>
    <w:unhideWhenUsed/>
    <w:rsid w:val="0008144A"/>
    <w:rPr>
      <w:sz w:val="16"/>
      <w:szCs w:val="16"/>
    </w:rPr>
  </w:style>
  <w:style w:type="paragraph" w:styleId="Testocommento">
    <w:name w:val="annotation text"/>
    <w:basedOn w:val="Normale"/>
    <w:link w:val="TestocommentoCarattere"/>
    <w:uiPriority w:val="99"/>
    <w:unhideWhenUsed/>
    <w:rsid w:val="0008144A"/>
    <w:pPr>
      <w:spacing w:line="240" w:lineRule="auto"/>
    </w:pPr>
  </w:style>
  <w:style w:type="character" w:customStyle="1" w:styleId="TestocommentoCarattere">
    <w:name w:val="Testo commento Carattere"/>
    <w:basedOn w:val="Carpredefinitoparagrafo"/>
    <w:link w:val="Testocommento"/>
    <w:uiPriority w:val="99"/>
    <w:rsid w:val="0008144A"/>
    <w:rPr>
      <w:sz w:val="20"/>
      <w:szCs w:val="20"/>
    </w:rPr>
  </w:style>
  <w:style w:type="paragraph" w:styleId="Soggettocommento">
    <w:name w:val="annotation subject"/>
    <w:basedOn w:val="Testocommento"/>
    <w:next w:val="Testocommento"/>
    <w:link w:val="SoggettocommentoCarattere"/>
    <w:uiPriority w:val="99"/>
    <w:semiHidden/>
    <w:unhideWhenUsed/>
    <w:rsid w:val="0008144A"/>
    <w:rPr>
      <w:b/>
      <w:bCs/>
    </w:rPr>
  </w:style>
  <w:style w:type="character" w:customStyle="1" w:styleId="SoggettocommentoCarattere">
    <w:name w:val="Soggetto commento Carattere"/>
    <w:basedOn w:val="TestocommentoCarattere"/>
    <w:link w:val="Soggettocommento"/>
    <w:uiPriority w:val="99"/>
    <w:semiHidden/>
    <w:rsid w:val="0008144A"/>
    <w:rPr>
      <w:b/>
      <w:bCs/>
      <w:sz w:val="20"/>
      <w:szCs w:val="20"/>
    </w:rPr>
  </w:style>
  <w:style w:type="character" w:customStyle="1" w:styleId="UnresolvedMention2">
    <w:name w:val="Unresolved Mention2"/>
    <w:basedOn w:val="Carpredefinitoparagrafo"/>
    <w:uiPriority w:val="99"/>
    <w:semiHidden/>
    <w:unhideWhenUsed/>
    <w:rsid w:val="0008144A"/>
    <w:rPr>
      <w:color w:val="605E5C"/>
      <w:shd w:val="clear" w:color="auto" w:fill="E1DFDD"/>
    </w:rPr>
  </w:style>
  <w:style w:type="paragraph" w:customStyle="1" w:styleId="TableParagraph">
    <w:name w:val="Table Paragraph"/>
    <w:basedOn w:val="Normale"/>
    <w:uiPriority w:val="1"/>
    <w:qFormat/>
    <w:rsid w:val="00AE5621"/>
    <w:pPr>
      <w:widowControl w:val="0"/>
      <w:autoSpaceDE w:val="0"/>
      <w:autoSpaceDN w:val="0"/>
      <w:spacing w:before="10" w:line="240" w:lineRule="auto"/>
      <w:ind w:left="200"/>
    </w:pPr>
    <w:rPr>
      <w:rFonts w:ascii="Arial" w:eastAsia="Arial" w:hAnsi="Arial" w:cs="Arial"/>
      <w:sz w:val="22"/>
      <w:szCs w:val="22"/>
      <w:lang w:bidi="en-US"/>
    </w:rPr>
  </w:style>
  <w:style w:type="paragraph" w:styleId="NormaleWeb">
    <w:name w:val="Normal (Web)"/>
    <w:basedOn w:val="Normale"/>
    <w:uiPriority w:val="99"/>
    <w:semiHidden/>
    <w:unhideWhenUsed/>
    <w:rsid w:val="00206DD5"/>
    <w:pPr>
      <w:spacing w:before="100" w:beforeAutospacing="1" w:after="100" w:afterAutospacing="1" w:line="240" w:lineRule="auto"/>
    </w:pPr>
    <w:rPr>
      <w:rFonts w:ascii="Times New Roman" w:hAnsi="Times New Roman" w:cs="Times New Roman"/>
      <w:sz w:val="24"/>
      <w:szCs w:val="24"/>
    </w:rPr>
  </w:style>
  <w:style w:type="character" w:styleId="Enfasigrassetto">
    <w:name w:val="Strong"/>
    <w:basedOn w:val="Carpredefinitoparagrafo"/>
    <w:uiPriority w:val="22"/>
    <w:qFormat/>
    <w:rsid w:val="00206DD5"/>
    <w:rPr>
      <w:b/>
      <w:bCs/>
    </w:rPr>
  </w:style>
  <w:style w:type="character" w:customStyle="1" w:styleId="UnresolvedMention3">
    <w:name w:val="Unresolved Mention3"/>
    <w:basedOn w:val="Carpredefinitoparagrafo"/>
    <w:uiPriority w:val="99"/>
    <w:semiHidden/>
    <w:unhideWhenUsed/>
    <w:rsid w:val="00C2713A"/>
    <w:rPr>
      <w:color w:val="605E5C"/>
      <w:shd w:val="clear" w:color="auto" w:fill="E1DFDD"/>
    </w:rPr>
  </w:style>
  <w:style w:type="paragraph" w:customStyle="1" w:styleId="Body">
    <w:name w:val="Body"/>
    <w:rsid w:val="00966AA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s-ES_tradnl"/>
    </w:rPr>
  </w:style>
  <w:style w:type="paragraph" w:styleId="Revisione">
    <w:name w:val="Revision"/>
    <w:hidden/>
    <w:uiPriority w:val="99"/>
    <w:semiHidden/>
    <w:rsid w:val="00CC74B4"/>
    <w:pPr>
      <w:spacing w:after="0" w:line="240" w:lineRule="auto"/>
    </w:pPr>
    <w:rPr>
      <w:sz w:val="20"/>
      <w:szCs w:val="20"/>
    </w:rPr>
  </w:style>
  <w:style w:type="character" w:customStyle="1" w:styleId="UnresolvedMention4">
    <w:name w:val="Unresolved Mention4"/>
    <w:basedOn w:val="Carpredefinitoparagrafo"/>
    <w:uiPriority w:val="99"/>
    <w:semiHidden/>
    <w:unhideWhenUsed/>
    <w:rsid w:val="00D07B49"/>
    <w:rPr>
      <w:color w:val="605E5C"/>
      <w:shd w:val="clear" w:color="auto" w:fill="E1DFDD"/>
    </w:rPr>
  </w:style>
  <w:style w:type="character" w:customStyle="1" w:styleId="A5">
    <w:name w:val="A5"/>
    <w:uiPriority w:val="99"/>
    <w:rsid w:val="00ED3510"/>
    <w:rPr>
      <w:rFonts w:cs="Proxima Nova Light"/>
      <w:color w:val="211D1E"/>
      <w:sz w:val="20"/>
      <w:szCs w:val="20"/>
    </w:rPr>
  </w:style>
  <w:style w:type="character" w:customStyle="1" w:styleId="period">
    <w:name w:val="period"/>
    <w:basedOn w:val="Carpredefinitoparagrafo"/>
    <w:rsid w:val="0019214C"/>
  </w:style>
  <w:style w:type="character" w:customStyle="1" w:styleId="cit">
    <w:name w:val="cit"/>
    <w:basedOn w:val="Carpredefinitoparagrafo"/>
    <w:rsid w:val="0019214C"/>
  </w:style>
  <w:style w:type="character" w:customStyle="1" w:styleId="citation-doi">
    <w:name w:val="citation-doi"/>
    <w:basedOn w:val="Carpredefinitoparagrafo"/>
    <w:rsid w:val="0019214C"/>
  </w:style>
  <w:style w:type="character" w:customStyle="1" w:styleId="secondary-date">
    <w:name w:val="secondary-date"/>
    <w:basedOn w:val="Carpredefinitoparagrafo"/>
    <w:rsid w:val="0019214C"/>
  </w:style>
  <w:style w:type="character" w:customStyle="1" w:styleId="Titolo4Carattere">
    <w:name w:val="Titolo 4 Carattere"/>
    <w:basedOn w:val="Carpredefinitoparagrafo"/>
    <w:link w:val="Titolo4"/>
    <w:uiPriority w:val="9"/>
    <w:semiHidden/>
    <w:rsid w:val="00956BF2"/>
    <w:rPr>
      <w:rFonts w:asciiTheme="majorHAnsi" w:eastAsiaTheme="majorEastAsia" w:hAnsiTheme="majorHAnsi" w:cstheme="majorBidi"/>
      <w:i/>
      <w:iCs/>
      <w:color w:val="03477E" w:themeColor="accent1" w:themeShade="BF"/>
      <w:sz w:val="20"/>
      <w:szCs w:val="20"/>
    </w:rPr>
  </w:style>
  <w:style w:type="character" w:customStyle="1" w:styleId="UnresolvedMention5">
    <w:name w:val="Unresolved Mention5"/>
    <w:basedOn w:val="Carpredefinitoparagrafo"/>
    <w:uiPriority w:val="99"/>
    <w:semiHidden/>
    <w:unhideWhenUsed/>
    <w:rsid w:val="00A00A1E"/>
    <w:rPr>
      <w:color w:val="605E5C"/>
      <w:shd w:val="clear" w:color="auto" w:fill="E1DFDD"/>
    </w:rPr>
  </w:style>
  <w:style w:type="paragraph" w:customStyle="1" w:styleId="Bullet4">
    <w:name w:val="Bullet 4"/>
    <w:basedOn w:val="Bullet3"/>
    <w:qFormat/>
    <w:rsid w:val="00E26816"/>
    <w:pPr>
      <w:numPr>
        <w:ilvl w:val="3"/>
      </w:numPr>
      <w:tabs>
        <w:tab w:val="num" w:pos="360"/>
      </w:tabs>
      <w:ind w:left="1418" w:hanging="284"/>
    </w:pPr>
  </w:style>
  <w:style w:type="paragraph" w:customStyle="1" w:styleId="Bullet1">
    <w:name w:val="Bullet 1"/>
    <w:basedOn w:val="Normale"/>
    <w:next w:val="Bullet2"/>
    <w:link w:val="Bullet1Char"/>
    <w:qFormat/>
    <w:rsid w:val="00E26816"/>
    <w:pPr>
      <w:keepLines/>
      <w:numPr>
        <w:numId w:val="5"/>
      </w:numPr>
      <w:spacing w:line="240" w:lineRule="auto"/>
    </w:pPr>
    <w:rPr>
      <w:rFonts w:ascii="Arial" w:eastAsia="Times New Roman" w:hAnsi="Arial" w:cs="Arial"/>
      <w:szCs w:val="22"/>
    </w:rPr>
  </w:style>
  <w:style w:type="paragraph" w:customStyle="1" w:styleId="Bullet2">
    <w:name w:val="Bullet 2"/>
    <w:basedOn w:val="Bullet1"/>
    <w:link w:val="Bullet2Char"/>
    <w:qFormat/>
    <w:rsid w:val="00E26816"/>
    <w:pPr>
      <w:numPr>
        <w:ilvl w:val="1"/>
      </w:numPr>
      <w:autoSpaceDE w:val="0"/>
      <w:autoSpaceDN w:val="0"/>
      <w:adjustRightInd w:val="0"/>
      <w:ind w:left="432" w:hanging="216"/>
    </w:pPr>
  </w:style>
  <w:style w:type="paragraph" w:customStyle="1" w:styleId="Bullet3">
    <w:name w:val="Bullet 3"/>
    <w:basedOn w:val="Bullet2"/>
    <w:qFormat/>
    <w:rsid w:val="00E26816"/>
    <w:pPr>
      <w:numPr>
        <w:ilvl w:val="2"/>
      </w:numPr>
      <w:tabs>
        <w:tab w:val="num" w:pos="360"/>
      </w:tabs>
      <w:ind w:left="1135" w:hanging="284"/>
    </w:pPr>
  </w:style>
  <w:style w:type="character" w:customStyle="1" w:styleId="Bullet1Char">
    <w:name w:val="Bullet 1 Char"/>
    <w:basedOn w:val="Carpredefinitoparagrafo"/>
    <w:link w:val="Bullet1"/>
    <w:locked/>
    <w:rsid w:val="00E26816"/>
    <w:rPr>
      <w:rFonts w:ascii="Arial" w:eastAsia="Times New Roman" w:hAnsi="Arial" w:cs="Arial"/>
      <w:sz w:val="20"/>
    </w:rPr>
  </w:style>
  <w:style w:type="paragraph" w:customStyle="1" w:styleId="Bullet5">
    <w:name w:val="Bullet 5"/>
    <w:basedOn w:val="Bullet4"/>
    <w:qFormat/>
    <w:rsid w:val="00E26816"/>
    <w:pPr>
      <w:numPr>
        <w:ilvl w:val="4"/>
      </w:numPr>
      <w:tabs>
        <w:tab w:val="num" w:pos="360"/>
      </w:tabs>
      <w:ind w:left="1702" w:hanging="284"/>
    </w:pPr>
  </w:style>
  <w:style w:type="paragraph" w:customStyle="1" w:styleId="Bullet6">
    <w:name w:val="Bullet 6"/>
    <w:basedOn w:val="Bullet5"/>
    <w:qFormat/>
    <w:rsid w:val="00E26816"/>
    <w:pPr>
      <w:numPr>
        <w:ilvl w:val="5"/>
      </w:numPr>
      <w:tabs>
        <w:tab w:val="num" w:pos="360"/>
      </w:tabs>
      <w:ind w:left="1985" w:hanging="284"/>
    </w:pPr>
  </w:style>
  <w:style w:type="paragraph" w:customStyle="1" w:styleId="Bullet7">
    <w:name w:val="Bullet 7"/>
    <w:basedOn w:val="Bullet6"/>
    <w:qFormat/>
    <w:rsid w:val="00E26816"/>
    <w:pPr>
      <w:numPr>
        <w:ilvl w:val="6"/>
      </w:numPr>
      <w:tabs>
        <w:tab w:val="num" w:pos="360"/>
      </w:tabs>
      <w:ind w:left="2269" w:hanging="284"/>
    </w:pPr>
  </w:style>
  <w:style w:type="paragraph" w:customStyle="1" w:styleId="Bullet8">
    <w:name w:val="Bullet 8"/>
    <w:basedOn w:val="Bullet7"/>
    <w:qFormat/>
    <w:rsid w:val="00E26816"/>
    <w:pPr>
      <w:numPr>
        <w:ilvl w:val="7"/>
      </w:numPr>
      <w:tabs>
        <w:tab w:val="num" w:pos="360"/>
      </w:tabs>
      <w:ind w:left="2552" w:hanging="284"/>
    </w:pPr>
  </w:style>
  <w:style w:type="paragraph" w:customStyle="1" w:styleId="Bullet9">
    <w:name w:val="Bullet 9"/>
    <w:basedOn w:val="Bullet8"/>
    <w:qFormat/>
    <w:rsid w:val="00E26816"/>
    <w:pPr>
      <w:numPr>
        <w:ilvl w:val="8"/>
      </w:numPr>
      <w:tabs>
        <w:tab w:val="num" w:pos="360"/>
      </w:tabs>
      <w:ind w:left="2836" w:hanging="284"/>
    </w:pPr>
  </w:style>
  <w:style w:type="paragraph" w:customStyle="1" w:styleId="EndNoteBibliography">
    <w:name w:val="EndNote Bibliography"/>
    <w:basedOn w:val="Normale"/>
    <w:link w:val="EndNoteBibliographyChar"/>
    <w:rsid w:val="009765E8"/>
    <w:pPr>
      <w:keepNext/>
      <w:keepLines/>
      <w:spacing w:after="160" w:line="240" w:lineRule="auto"/>
    </w:pPr>
    <w:rPr>
      <w:rFonts w:ascii="Arial" w:hAnsi="Arial" w:cs="Arial"/>
      <w:noProof/>
    </w:rPr>
  </w:style>
  <w:style w:type="character" w:customStyle="1" w:styleId="EndNoteBibliographyChar">
    <w:name w:val="EndNote Bibliography Char"/>
    <w:basedOn w:val="Carpredefinitoparagrafo"/>
    <w:link w:val="EndNoteBibliography"/>
    <w:rsid w:val="009765E8"/>
    <w:rPr>
      <w:rFonts w:ascii="Arial" w:hAnsi="Arial" w:cs="Arial"/>
      <w:noProof/>
      <w:sz w:val="20"/>
      <w:szCs w:val="20"/>
    </w:rPr>
  </w:style>
  <w:style w:type="character" w:customStyle="1" w:styleId="UnresolvedMention6">
    <w:name w:val="Unresolved Mention6"/>
    <w:basedOn w:val="Carpredefinitoparagrafo"/>
    <w:uiPriority w:val="99"/>
    <w:semiHidden/>
    <w:unhideWhenUsed/>
    <w:rsid w:val="009164EF"/>
    <w:rPr>
      <w:color w:val="605E5C"/>
      <w:shd w:val="clear" w:color="auto" w:fill="E1DFDD"/>
    </w:rPr>
  </w:style>
  <w:style w:type="character" w:customStyle="1" w:styleId="Bullet2Char">
    <w:name w:val="Bullet 2 Char"/>
    <w:basedOn w:val="Carpredefinitoparagrafo"/>
    <w:link w:val="Bullet2"/>
    <w:locked/>
    <w:rsid w:val="00DB0DB0"/>
    <w:rPr>
      <w:rFonts w:ascii="Arial" w:eastAsia="Times New Roman" w:hAnsi="Arial" w:cs="Arial"/>
      <w:sz w:val="20"/>
    </w:rPr>
  </w:style>
  <w:style w:type="character" w:customStyle="1" w:styleId="UnresolvedMention7">
    <w:name w:val="Unresolved Mention7"/>
    <w:basedOn w:val="Carpredefinitoparagrafo"/>
    <w:uiPriority w:val="99"/>
    <w:semiHidden/>
    <w:unhideWhenUsed/>
    <w:rsid w:val="004653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7923">
      <w:bodyDiv w:val="1"/>
      <w:marLeft w:val="0"/>
      <w:marRight w:val="0"/>
      <w:marTop w:val="0"/>
      <w:marBottom w:val="0"/>
      <w:divBdr>
        <w:top w:val="none" w:sz="0" w:space="0" w:color="auto"/>
        <w:left w:val="none" w:sz="0" w:space="0" w:color="auto"/>
        <w:bottom w:val="none" w:sz="0" w:space="0" w:color="auto"/>
        <w:right w:val="none" w:sz="0" w:space="0" w:color="auto"/>
      </w:divBdr>
    </w:div>
    <w:div w:id="114176952">
      <w:bodyDiv w:val="1"/>
      <w:marLeft w:val="0"/>
      <w:marRight w:val="0"/>
      <w:marTop w:val="0"/>
      <w:marBottom w:val="0"/>
      <w:divBdr>
        <w:top w:val="none" w:sz="0" w:space="0" w:color="auto"/>
        <w:left w:val="none" w:sz="0" w:space="0" w:color="auto"/>
        <w:bottom w:val="none" w:sz="0" w:space="0" w:color="auto"/>
        <w:right w:val="none" w:sz="0" w:space="0" w:color="auto"/>
      </w:divBdr>
      <w:divsChild>
        <w:div w:id="783765193">
          <w:marLeft w:val="0"/>
          <w:marRight w:val="0"/>
          <w:marTop w:val="0"/>
          <w:marBottom w:val="0"/>
          <w:divBdr>
            <w:top w:val="none" w:sz="0" w:space="0" w:color="auto"/>
            <w:left w:val="none" w:sz="0" w:space="0" w:color="auto"/>
            <w:bottom w:val="none" w:sz="0" w:space="0" w:color="auto"/>
            <w:right w:val="none" w:sz="0" w:space="0" w:color="auto"/>
          </w:divBdr>
          <w:divsChild>
            <w:div w:id="321394954">
              <w:marLeft w:val="0"/>
              <w:marRight w:val="0"/>
              <w:marTop w:val="0"/>
              <w:marBottom w:val="0"/>
              <w:divBdr>
                <w:top w:val="none" w:sz="0" w:space="0" w:color="auto"/>
                <w:left w:val="none" w:sz="0" w:space="0" w:color="auto"/>
                <w:bottom w:val="none" w:sz="0" w:space="0" w:color="auto"/>
                <w:right w:val="none" w:sz="0" w:space="0" w:color="auto"/>
              </w:divBdr>
              <w:divsChild>
                <w:div w:id="108895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5831">
      <w:bodyDiv w:val="1"/>
      <w:marLeft w:val="0"/>
      <w:marRight w:val="0"/>
      <w:marTop w:val="0"/>
      <w:marBottom w:val="0"/>
      <w:divBdr>
        <w:top w:val="none" w:sz="0" w:space="0" w:color="auto"/>
        <w:left w:val="none" w:sz="0" w:space="0" w:color="auto"/>
        <w:bottom w:val="none" w:sz="0" w:space="0" w:color="auto"/>
        <w:right w:val="none" w:sz="0" w:space="0" w:color="auto"/>
      </w:divBdr>
    </w:div>
    <w:div w:id="305478112">
      <w:bodyDiv w:val="1"/>
      <w:marLeft w:val="0"/>
      <w:marRight w:val="0"/>
      <w:marTop w:val="0"/>
      <w:marBottom w:val="0"/>
      <w:divBdr>
        <w:top w:val="none" w:sz="0" w:space="0" w:color="auto"/>
        <w:left w:val="none" w:sz="0" w:space="0" w:color="auto"/>
        <w:bottom w:val="none" w:sz="0" w:space="0" w:color="auto"/>
        <w:right w:val="none" w:sz="0" w:space="0" w:color="auto"/>
      </w:divBdr>
    </w:div>
    <w:div w:id="335497790">
      <w:bodyDiv w:val="1"/>
      <w:marLeft w:val="0"/>
      <w:marRight w:val="0"/>
      <w:marTop w:val="0"/>
      <w:marBottom w:val="0"/>
      <w:divBdr>
        <w:top w:val="none" w:sz="0" w:space="0" w:color="auto"/>
        <w:left w:val="none" w:sz="0" w:space="0" w:color="auto"/>
        <w:bottom w:val="none" w:sz="0" w:space="0" w:color="auto"/>
        <w:right w:val="none" w:sz="0" w:space="0" w:color="auto"/>
      </w:divBdr>
      <w:divsChild>
        <w:div w:id="1476409218">
          <w:marLeft w:val="360"/>
          <w:marRight w:val="0"/>
          <w:marTop w:val="120"/>
          <w:marBottom w:val="120"/>
          <w:divBdr>
            <w:top w:val="none" w:sz="0" w:space="0" w:color="auto"/>
            <w:left w:val="none" w:sz="0" w:space="0" w:color="auto"/>
            <w:bottom w:val="none" w:sz="0" w:space="0" w:color="auto"/>
            <w:right w:val="none" w:sz="0" w:space="0" w:color="auto"/>
          </w:divBdr>
        </w:div>
        <w:div w:id="208808654">
          <w:marLeft w:val="360"/>
          <w:marRight w:val="0"/>
          <w:marTop w:val="120"/>
          <w:marBottom w:val="120"/>
          <w:divBdr>
            <w:top w:val="none" w:sz="0" w:space="0" w:color="auto"/>
            <w:left w:val="none" w:sz="0" w:space="0" w:color="auto"/>
            <w:bottom w:val="none" w:sz="0" w:space="0" w:color="auto"/>
            <w:right w:val="none" w:sz="0" w:space="0" w:color="auto"/>
          </w:divBdr>
        </w:div>
        <w:div w:id="772214421">
          <w:marLeft w:val="360"/>
          <w:marRight w:val="0"/>
          <w:marTop w:val="120"/>
          <w:marBottom w:val="120"/>
          <w:divBdr>
            <w:top w:val="none" w:sz="0" w:space="0" w:color="auto"/>
            <w:left w:val="none" w:sz="0" w:space="0" w:color="auto"/>
            <w:bottom w:val="none" w:sz="0" w:space="0" w:color="auto"/>
            <w:right w:val="none" w:sz="0" w:space="0" w:color="auto"/>
          </w:divBdr>
        </w:div>
        <w:div w:id="1191264556">
          <w:marLeft w:val="360"/>
          <w:marRight w:val="0"/>
          <w:marTop w:val="120"/>
          <w:marBottom w:val="120"/>
          <w:divBdr>
            <w:top w:val="none" w:sz="0" w:space="0" w:color="auto"/>
            <w:left w:val="none" w:sz="0" w:space="0" w:color="auto"/>
            <w:bottom w:val="none" w:sz="0" w:space="0" w:color="auto"/>
            <w:right w:val="none" w:sz="0" w:space="0" w:color="auto"/>
          </w:divBdr>
        </w:div>
        <w:div w:id="1779376161">
          <w:marLeft w:val="360"/>
          <w:marRight w:val="0"/>
          <w:marTop w:val="120"/>
          <w:marBottom w:val="120"/>
          <w:divBdr>
            <w:top w:val="none" w:sz="0" w:space="0" w:color="auto"/>
            <w:left w:val="none" w:sz="0" w:space="0" w:color="auto"/>
            <w:bottom w:val="none" w:sz="0" w:space="0" w:color="auto"/>
            <w:right w:val="none" w:sz="0" w:space="0" w:color="auto"/>
          </w:divBdr>
        </w:div>
      </w:divsChild>
    </w:div>
    <w:div w:id="371807888">
      <w:bodyDiv w:val="1"/>
      <w:marLeft w:val="0"/>
      <w:marRight w:val="0"/>
      <w:marTop w:val="0"/>
      <w:marBottom w:val="0"/>
      <w:divBdr>
        <w:top w:val="none" w:sz="0" w:space="0" w:color="auto"/>
        <w:left w:val="none" w:sz="0" w:space="0" w:color="auto"/>
        <w:bottom w:val="none" w:sz="0" w:space="0" w:color="auto"/>
        <w:right w:val="none" w:sz="0" w:space="0" w:color="auto"/>
      </w:divBdr>
    </w:div>
    <w:div w:id="390083559">
      <w:bodyDiv w:val="1"/>
      <w:marLeft w:val="0"/>
      <w:marRight w:val="0"/>
      <w:marTop w:val="0"/>
      <w:marBottom w:val="0"/>
      <w:divBdr>
        <w:top w:val="none" w:sz="0" w:space="0" w:color="auto"/>
        <w:left w:val="none" w:sz="0" w:space="0" w:color="auto"/>
        <w:bottom w:val="none" w:sz="0" w:space="0" w:color="auto"/>
        <w:right w:val="none" w:sz="0" w:space="0" w:color="auto"/>
      </w:divBdr>
      <w:divsChild>
        <w:div w:id="2109810928">
          <w:marLeft w:val="360"/>
          <w:marRight w:val="0"/>
          <w:marTop w:val="120"/>
          <w:marBottom w:val="120"/>
          <w:divBdr>
            <w:top w:val="none" w:sz="0" w:space="0" w:color="auto"/>
            <w:left w:val="none" w:sz="0" w:space="0" w:color="auto"/>
            <w:bottom w:val="none" w:sz="0" w:space="0" w:color="auto"/>
            <w:right w:val="none" w:sz="0" w:space="0" w:color="auto"/>
          </w:divBdr>
        </w:div>
      </w:divsChild>
    </w:div>
    <w:div w:id="392774814">
      <w:bodyDiv w:val="1"/>
      <w:marLeft w:val="0"/>
      <w:marRight w:val="0"/>
      <w:marTop w:val="0"/>
      <w:marBottom w:val="0"/>
      <w:divBdr>
        <w:top w:val="none" w:sz="0" w:space="0" w:color="auto"/>
        <w:left w:val="none" w:sz="0" w:space="0" w:color="auto"/>
        <w:bottom w:val="none" w:sz="0" w:space="0" w:color="auto"/>
        <w:right w:val="none" w:sz="0" w:space="0" w:color="auto"/>
      </w:divBdr>
    </w:div>
    <w:div w:id="393628819">
      <w:bodyDiv w:val="1"/>
      <w:marLeft w:val="0"/>
      <w:marRight w:val="0"/>
      <w:marTop w:val="0"/>
      <w:marBottom w:val="0"/>
      <w:divBdr>
        <w:top w:val="none" w:sz="0" w:space="0" w:color="auto"/>
        <w:left w:val="none" w:sz="0" w:space="0" w:color="auto"/>
        <w:bottom w:val="none" w:sz="0" w:space="0" w:color="auto"/>
        <w:right w:val="none" w:sz="0" w:space="0" w:color="auto"/>
      </w:divBdr>
    </w:div>
    <w:div w:id="417873995">
      <w:bodyDiv w:val="1"/>
      <w:marLeft w:val="0"/>
      <w:marRight w:val="0"/>
      <w:marTop w:val="0"/>
      <w:marBottom w:val="0"/>
      <w:divBdr>
        <w:top w:val="none" w:sz="0" w:space="0" w:color="auto"/>
        <w:left w:val="none" w:sz="0" w:space="0" w:color="auto"/>
        <w:bottom w:val="none" w:sz="0" w:space="0" w:color="auto"/>
        <w:right w:val="none" w:sz="0" w:space="0" w:color="auto"/>
      </w:divBdr>
    </w:div>
    <w:div w:id="447629154">
      <w:bodyDiv w:val="1"/>
      <w:marLeft w:val="0"/>
      <w:marRight w:val="0"/>
      <w:marTop w:val="0"/>
      <w:marBottom w:val="0"/>
      <w:divBdr>
        <w:top w:val="none" w:sz="0" w:space="0" w:color="auto"/>
        <w:left w:val="none" w:sz="0" w:space="0" w:color="auto"/>
        <w:bottom w:val="none" w:sz="0" w:space="0" w:color="auto"/>
        <w:right w:val="none" w:sz="0" w:space="0" w:color="auto"/>
      </w:divBdr>
    </w:div>
    <w:div w:id="463278955">
      <w:bodyDiv w:val="1"/>
      <w:marLeft w:val="0"/>
      <w:marRight w:val="0"/>
      <w:marTop w:val="0"/>
      <w:marBottom w:val="0"/>
      <w:divBdr>
        <w:top w:val="none" w:sz="0" w:space="0" w:color="auto"/>
        <w:left w:val="none" w:sz="0" w:space="0" w:color="auto"/>
        <w:bottom w:val="none" w:sz="0" w:space="0" w:color="auto"/>
        <w:right w:val="none" w:sz="0" w:space="0" w:color="auto"/>
      </w:divBdr>
    </w:div>
    <w:div w:id="508641639">
      <w:bodyDiv w:val="1"/>
      <w:marLeft w:val="0"/>
      <w:marRight w:val="0"/>
      <w:marTop w:val="0"/>
      <w:marBottom w:val="0"/>
      <w:divBdr>
        <w:top w:val="none" w:sz="0" w:space="0" w:color="auto"/>
        <w:left w:val="none" w:sz="0" w:space="0" w:color="auto"/>
        <w:bottom w:val="none" w:sz="0" w:space="0" w:color="auto"/>
        <w:right w:val="none" w:sz="0" w:space="0" w:color="auto"/>
      </w:divBdr>
    </w:div>
    <w:div w:id="527525752">
      <w:bodyDiv w:val="1"/>
      <w:marLeft w:val="0"/>
      <w:marRight w:val="0"/>
      <w:marTop w:val="0"/>
      <w:marBottom w:val="0"/>
      <w:divBdr>
        <w:top w:val="none" w:sz="0" w:space="0" w:color="auto"/>
        <w:left w:val="none" w:sz="0" w:space="0" w:color="auto"/>
        <w:bottom w:val="none" w:sz="0" w:space="0" w:color="auto"/>
        <w:right w:val="none" w:sz="0" w:space="0" w:color="auto"/>
      </w:divBdr>
    </w:div>
    <w:div w:id="544869843">
      <w:bodyDiv w:val="1"/>
      <w:marLeft w:val="0"/>
      <w:marRight w:val="0"/>
      <w:marTop w:val="0"/>
      <w:marBottom w:val="0"/>
      <w:divBdr>
        <w:top w:val="none" w:sz="0" w:space="0" w:color="auto"/>
        <w:left w:val="none" w:sz="0" w:space="0" w:color="auto"/>
        <w:bottom w:val="none" w:sz="0" w:space="0" w:color="auto"/>
        <w:right w:val="none" w:sz="0" w:space="0" w:color="auto"/>
      </w:divBdr>
    </w:div>
    <w:div w:id="564879393">
      <w:bodyDiv w:val="1"/>
      <w:marLeft w:val="0"/>
      <w:marRight w:val="0"/>
      <w:marTop w:val="0"/>
      <w:marBottom w:val="0"/>
      <w:divBdr>
        <w:top w:val="none" w:sz="0" w:space="0" w:color="auto"/>
        <w:left w:val="none" w:sz="0" w:space="0" w:color="auto"/>
        <w:bottom w:val="none" w:sz="0" w:space="0" w:color="auto"/>
        <w:right w:val="none" w:sz="0" w:space="0" w:color="auto"/>
      </w:divBdr>
    </w:div>
    <w:div w:id="573008907">
      <w:bodyDiv w:val="1"/>
      <w:marLeft w:val="0"/>
      <w:marRight w:val="0"/>
      <w:marTop w:val="0"/>
      <w:marBottom w:val="0"/>
      <w:divBdr>
        <w:top w:val="none" w:sz="0" w:space="0" w:color="auto"/>
        <w:left w:val="none" w:sz="0" w:space="0" w:color="auto"/>
        <w:bottom w:val="none" w:sz="0" w:space="0" w:color="auto"/>
        <w:right w:val="none" w:sz="0" w:space="0" w:color="auto"/>
      </w:divBdr>
    </w:div>
    <w:div w:id="588932324">
      <w:bodyDiv w:val="1"/>
      <w:marLeft w:val="0"/>
      <w:marRight w:val="0"/>
      <w:marTop w:val="0"/>
      <w:marBottom w:val="0"/>
      <w:divBdr>
        <w:top w:val="none" w:sz="0" w:space="0" w:color="auto"/>
        <w:left w:val="none" w:sz="0" w:space="0" w:color="auto"/>
        <w:bottom w:val="none" w:sz="0" w:space="0" w:color="auto"/>
        <w:right w:val="none" w:sz="0" w:space="0" w:color="auto"/>
      </w:divBdr>
    </w:div>
    <w:div w:id="597834007">
      <w:bodyDiv w:val="1"/>
      <w:marLeft w:val="0"/>
      <w:marRight w:val="0"/>
      <w:marTop w:val="0"/>
      <w:marBottom w:val="0"/>
      <w:divBdr>
        <w:top w:val="none" w:sz="0" w:space="0" w:color="auto"/>
        <w:left w:val="none" w:sz="0" w:space="0" w:color="auto"/>
        <w:bottom w:val="none" w:sz="0" w:space="0" w:color="auto"/>
        <w:right w:val="none" w:sz="0" w:space="0" w:color="auto"/>
      </w:divBdr>
      <w:divsChild>
        <w:div w:id="1596012699">
          <w:marLeft w:val="360"/>
          <w:marRight w:val="0"/>
          <w:marTop w:val="120"/>
          <w:marBottom w:val="120"/>
          <w:divBdr>
            <w:top w:val="none" w:sz="0" w:space="0" w:color="auto"/>
            <w:left w:val="none" w:sz="0" w:space="0" w:color="auto"/>
            <w:bottom w:val="none" w:sz="0" w:space="0" w:color="auto"/>
            <w:right w:val="none" w:sz="0" w:space="0" w:color="auto"/>
          </w:divBdr>
        </w:div>
      </w:divsChild>
    </w:div>
    <w:div w:id="613290290">
      <w:bodyDiv w:val="1"/>
      <w:marLeft w:val="0"/>
      <w:marRight w:val="0"/>
      <w:marTop w:val="0"/>
      <w:marBottom w:val="0"/>
      <w:divBdr>
        <w:top w:val="none" w:sz="0" w:space="0" w:color="auto"/>
        <w:left w:val="none" w:sz="0" w:space="0" w:color="auto"/>
        <w:bottom w:val="none" w:sz="0" w:space="0" w:color="auto"/>
        <w:right w:val="none" w:sz="0" w:space="0" w:color="auto"/>
      </w:divBdr>
    </w:div>
    <w:div w:id="699355684">
      <w:bodyDiv w:val="1"/>
      <w:marLeft w:val="0"/>
      <w:marRight w:val="0"/>
      <w:marTop w:val="0"/>
      <w:marBottom w:val="0"/>
      <w:divBdr>
        <w:top w:val="none" w:sz="0" w:space="0" w:color="auto"/>
        <w:left w:val="none" w:sz="0" w:space="0" w:color="auto"/>
        <w:bottom w:val="none" w:sz="0" w:space="0" w:color="auto"/>
        <w:right w:val="none" w:sz="0" w:space="0" w:color="auto"/>
      </w:divBdr>
      <w:divsChild>
        <w:div w:id="1128010387">
          <w:marLeft w:val="274"/>
          <w:marRight w:val="0"/>
          <w:marTop w:val="0"/>
          <w:marBottom w:val="0"/>
          <w:divBdr>
            <w:top w:val="none" w:sz="0" w:space="0" w:color="auto"/>
            <w:left w:val="none" w:sz="0" w:space="0" w:color="auto"/>
            <w:bottom w:val="none" w:sz="0" w:space="0" w:color="auto"/>
            <w:right w:val="none" w:sz="0" w:space="0" w:color="auto"/>
          </w:divBdr>
        </w:div>
      </w:divsChild>
    </w:div>
    <w:div w:id="701251837">
      <w:bodyDiv w:val="1"/>
      <w:marLeft w:val="0"/>
      <w:marRight w:val="0"/>
      <w:marTop w:val="0"/>
      <w:marBottom w:val="0"/>
      <w:divBdr>
        <w:top w:val="none" w:sz="0" w:space="0" w:color="auto"/>
        <w:left w:val="none" w:sz="0" w:space="0" w:color="auto"/>
        <w:bottom w:val="none" w:sz="0" w:space="0" w:color="auto"/>
        <w:right w:val="none" w:sz="0" w:space="0" w:color="auto"/>
      </w:divBdr>
    </w:div>
    <w:div w:id="710886622">
      <w:bodyDiv w:val="1"/>
      <w:marLeft w:val="0"/>
      <w:marRight w:val="0"/>
      <w:marTop w:val="0"/>
      <w:marBottom w:val="0"/>
      <w:divBdr>
        <w:top w:val="none" w:sz="0" w:space="0" w:color="auto"/>
        <w:left w:val="none" w:sz="0" w:space="0" w:color="auto"/>
        <w:bottom w:val="none" w:sz="0" w:space="0" w:color="auto"/>
        <w:right w:val="none" w:sz="0" w:space="0" w:color="auto"/>
      </w:divBdr>
    </w:div>
    <w:div w:id="731198791">
      <w:bodyDiv w:val="1"/>
      <w:marLeft w:val="0"/>
      <w:marRight w:val="0"/>
      <w:marTop w:val="0"/>
      <w:marBottom w:val="0"/>
      <w:divBdr>
        <w:top w:val="none" w:sz="0" w:space="0" w:color="auto"/>
        <w:left w:val="none" w:sz="0" w:space="0" w:color="auto"/>
        <w:bottom w:val="none" w:sz="0" w:space="0" w:color="auto"/>
        <w:right w:val="none" w:sz="0" w:space="0" w:color="auto"/>
      </w:divBdr>
    </w:div>
    <w:div w:id="780993642">
      <w:bodyDiv w:val="1"/>
      <w:marLeft w:val="0"/>
      <w:marRight w:val="0"/>
      <w:marTop w:val="0"/>
      <w:marBottom w:val="0"/>
      <w:divBdr>
        <w:top w:val="none" w:sz="0" w:space="0" w:color="auto"/>
        <w:left w:val="none" w:sz="0" w:space="0" w:color="auto"/>
        <w:bottom w:val="none" w:sz="0" w:space="0" w:color="auto"/>
        <w:right w:val="none" w:sz="0" w:space="0" w:color="auto"/>
      </w:divBdr>
    </w:div>
    <w:div w:id="813108488">
      <w:bodyDiv w:val="1"/>
      <w:marLeft w:val="0"/>
      <w:marRight w:val="0"/>
      <w:marTop w:val="0"/>
      <w:marBottom w:val="0"/>
      <w:divBdr>
        <w:top w:val="none" w:sz="0" w:space="0" w:color="auto"/>
        <w:left w:val="none" w:sz="0" w:space="0" w:color="auto"/>
        <w:bottom w:val="none" w:sz="0" w:space="0" w:color="auto"/>
        <w:right w:val="none" w:sz="0" w:space="0" w:color="auto"/>
      </w:divBdr>
      <w:divsChild>
        <w:div w:id="1716351882">
          <w:marLeft w:val="274"/>
          <w:marRight w:val="0"/>
          <w:marTop w:val="20"/>
          <w:marBottom w:val="20"/>
          <w:divBdr>
            <w:top w:val="none" w:sz="0" w:space="0" w:color="auto"/>
            <w:left w:val="none" w:sz="0" w:space="0" w:color="auto"/>
            <w:bottom w:val="none" w:sz="0" w:space="0" w:color="auto"/>
            <w:right w:val="none" w:sz="0" w:space="0" w:color="auto"/>
          </w:divBdr>
        </w:div>
      </w:divsChild>
    </w:div>
    <w:div w:id="838231638">
      <w:bodyDiv w:val="1"/>
      <w:marLeft w:val="0"/>
      <w:marRight w:val="0"/>
      <w:marTop w:val="0"/>
      <w:marBottom w:val="0"/>
      <w:divBdr>
        <w:top w:val="none" w:sz="0" w:space="0" w:color="auto"/>
        <w:left w:val="none" w:sz="0" w:space="0" w:color="auto"/>
        <w:bottom w:val="none" w:sz="0" w:space="0" w:color="auto"/>
        <w:right w:val="none" w:sz="0" w:space="0" w:color="auto"/>
      </w:divBdr>
    </w:div>
    <w:div w:id="858347745">
      <w:bodyDiv w:val="1"/>
      <w:marLeft w:val="0"/>
      <w:marRight w:val="0"/>
      <w:marTop w:val="0"/>
      <w:marBottom w:val="0"/>
      <w:divBdr>
        <w:top w:val="none" w:sz="0" w:space="0" w:color="auto"/>
        <w:left w:val="none" w:sz="0" w:space="0" w:color="auto"/>
        <w:bottom w:val="none" w:sz="0" w:space="0" w:color="auto"/>
        <w:right w:val="none" w:sz="0" w:space="0" w:color="auto"/>
      </w:divBdr>
      <w:divsChild>
        <w:div w:id="171838613">
          <w:marLeft w:val="360"/>
          <w:marRight w:val="0"/>
          <w:marTop w:val="120"/>
          <w:marBottom w:val="120"/>
          <w:divBdr>
            <w:top w:val="none" w:sz="0" w:space="0" w:color="auto"/>
            <w:left w:val="none" w:sz="0" w:space="0" w:color="auto"/>
            <w:bottom w:val="none" w:sz="0" w:space="0" w:color="auto"/>
            <w:right w:val="none" w:sz="0" w:space="0" w:color="auto"/>
          </w:divBdr>
        </w:div>
      </w:divsChild>
    </w:div>
    <w:div w:id="969243342">
      <w:bodyDiv w:val="1"/>
      <w:marLeft w:val="0"/>
      <w:marRight w:val="0"/>
      <w:marTop w:val="0"/>
      <w:marBottom w:val="0"/>
      <w:divBdr>
        <w:top w:val="none" w:sz="0" w:space="0" w:color="auto"/>
        <w:left w:val="none" w:sz="0" w:space="0" w:color="auto"/>
        <w:bottom w:val="none" w:sz="0" w:space="0" w:color="auto"/>
        <w:right w:val="none" w:sz="0" w:space="0" w:color="auto"/>
      </w:divBdr>
    </w:div>
    <w:div w:id="984505432">
      <w:bodyDiv w:val="1"/>
      <w:marLeft w:val="0"/>
      <w:marRight w:val="0"/>
      <w:marTop w:val="0"/>
      <w:marBottom w:val="0"/>
      <w:divBdr>
        <w:top w:val="none" w:sz="0" w:space="0" w:color="auto"/>
        <w:left w:val="none" w:sz="0" w:space="0" w:color="auto"/>
        <w:bottom w:val="none" w:sz="0" w:space="0" w:color="auto"/>
        <w:right w:val="none" w:sz="0" w:space="0" w:color="auto"/>
      </w:divBdr>
    </w:div>
    <w:div w:id="986518110">
      <w:bodyDiv w:val="1"/>
      <w:marLeft w:val="0"/>
      <w:marRight w:val="0"/>
      <w:marTop w:val="0"/>
      <w:marBottom w:val="0"/>
      <w:divBdr>
        <w:top w:val="none" w:sz="0" w:space="0" w:color="auto"/>
        <w:left w:val="none" w:sz="0" w:space="0" w:color="auto"/>
        <w:bottom w:val="none" w:sz="0" w:space="0" w:color="auto"/>
        <w:right w:val="none" w:sz="0" w:space="0" w:color="auto"/>
      </w:divBdr>
      <w:divsChild>
        <w:div w:id="715618294">
          <w:marLeft w:val="360"/>
          <w:marRight w:val="0"/>
          <w:marTop w:val="120"/>
          <w:marBottom w:val="120"/>
          <w:divBdr>
            <w:top w:val="none" w:sz="0" w:space="0" w:color="auto"/>
            <w:left w:val="none" w:sz="0" w:space="0" w:color="auto"/>
            <w:bottom w:val="none" w:sz="0" w:space="0" w:color="auto"/>
            <w:right w:val="none" w:sz="0" w:space="0" w:color="auto"/>
          </w:divBdr>
        </w:div>
        <w:div w:id="2143032180">
          <w:marLeft w:val="360"/>
          <w:marRight w:val="0"/>
          <w:marTop w:val="120"/>
          <w:marBottom w:val="120"/>
          <w:divBdr>
            <w:top w:val="none" w:sz="0" w:space="0" w:color="auto"/>
            <w:left w:val="none" w:sz="0" w:space="0" w:color="auto"/>
            <w:bottom w:val="none" w:sz="0" w:space="0" w:color="auto"/>
            <w:right w:val="none" w:sz="0" w:space="0" w:color="auto"/>
          </w:divBdr>
        </w:div>
        <w:div w:id="1465537833">
          <w:marLeft w:val="360"/>
          <w:marRight w:val="0"/>
          <w:marTop w:val="120"/>
          <w:marBottom w:val="120"/>
          <w:divBdr>
            <w:top w:val="none" w:sz="0" w:space="0" w:color="auto"/>
            <w:left w:val="none" w:sz="0" w:space="0" w:color="auto"/>
            <w:bottom w:val="none" w:sz="0" w:space="0" w:color="auto"/>
            <w:right w:val="none" w:sz="0" w:space="0" w:color="auto"/>
          </w:divBdr>
        </w:div>
        <w:div w:id="1061828717">
          <w:marLeft w:val="360"/>
          <w:marRight w:val="0"/>
          <w:marTop w:val="120"/>
          <w:marBottom w:val="120"/>
          <w:divBdr>
            <w:top w:val="none" w:sz="0" w:space="0" w:color="auto"/>
            <w:left w:val="none" w:sz="0" w:space="0" w:color="auto"/>
            <w:bottom w:val="none" w:sz="0" w:space="0" w:color="auto"/>
            <w:right w:val="none" w:sz="0" w:space="0" w:color="auto"/>
          </w:divBdr>
        </w:div>
        <w:div w:id="1106117640">
          <w:marLeft w:val="360"/>
          <w:marRight w:val="0"/>
          <w:marTop w:val="120"/>
          <w:marBottom w:val="120"/>
          <w:divBdr>
            <w:top w:val="none" w:sz="0" w:space="0" w:color="auto"/>
            <w:left w:val="none" w:sz="0" w:space="0" w:color="auto"/>
            <w:bottom w:val="none" w:sz="0" w:space="0" w:color="auto"/>
            <w:right w:val="none" w:sz="0" w:space="0" w:color="auto"/>
          </w:divBdr>
        </w:div>
      </w:divsChild>
    </w:div>
    <w:div w:id="1032152093">
      <w:bodyDiv w:val="1"/>
      <w:marLeft w:val="0"/>
      <w:marRight w:val="0"/>
      <w:marTop w:val="0"/>
      <w:marBottom w:val="0"/>
      <w:divBdr>
        <w:top w:val="none" w:sz="0" w:space="0" w:color="auto"/>
        <w:left w:val="none" w:sz="0" w:space="0" w:color="auto"/>
        <w:bottom w:val="none" w:sz="0" w:space="0" w:color="auto"/>
        <w:right w:val="none" w:sz="0" w:space="0" w:color="auto"/>
      </w:divBdr>
    </w:div>
    <w:div w:id="1036348574">
      <w:bodyDiv w:val="1"/>
      <w:marLeft w:val="0"/>
      <w:marRight w:val="0"/>
      <w:marTop w:val="0"/>
      <w:marBottom w:val="0"/>
      <w:divBdr>
        <w:top w:val="none" w:sz="0" w:space="0" w:color="auto"/>
        <w:left w:val="none" w:sz="0" w:space="0" w:color="auto"/>
        <w:bottom w:val="none" w:sz="0" w:space="0" w:color="auto"/>
        <w:right w:val="none" w:sz="0" w:space="0" w:color="auto"/>
      </w:divBdr>
      <w:divsChild>
        <w:div w:id="1653826485">
          <w:marLeft w:val="360"/>
          <w:marRight w:val="0"/>
          <w:marTop w:val="120"/>
          <w:marBottom w:val="120"/>
          <w:divBdr>
            <w:top w:val="none" w:sz="0" w:space="0" w:color="auto"/>
            <w:left w:val="none" w:sz="0" w:space="0" w:color="auto"/>
            <w:bottom w:val="none" w:sz="0" w:space="0" w:color="auto"/>
            <w:right w:val="none" w:sz="0" w:space="0" w:color="auto"/>
          </w:divBdr>
        </w:div>
        <w:div w:id="1995062405">
          <w:marLeft w:val="360"/>
          <w:marRight w:val="0"/>
          <w:marTop w:val="120"/>
          <w:marBottom w:val="120"/>
          <w:divBdr>
            <w:top w:val="none" w:sz="0" w:space="0" w:color="auto"/>
            <w:left w:val="none" w:sz="0" w:space="0" w:color="auto"/>
            <w:bottom w:val="none" w:sz="0" w:space="0" w:color="auto"/>
            <w:right w:val="none" w:sz="0" w:space="0" w:color="auto"/>
          </w:divBdr>
        </w:div>
        <w:div w:id="1165710239">
          <w:marLeft w:val="360"/>
          <w:marRight w:val="0"/>
          <w:marTop w:val="120"/>
          <w:marBottom w:val="120"/>
          <w:divBdr>
            <w:top w:val="none" w:sz="0" w:space="0" w:color="auto"/>
            <w:left w:val="none" w:sz="0" w:space="0" w:color="auto"/>
            <w:bottom w:val="none" w:sz="0" w:space="0" w:color="auto"/>
            <w:right w:val="none" w:sz="0" w:space="0" w:color="auto"/>
          </w:divBdr>
        </w:div>
        <w:div w:id="57016545">
          <w:marLeft w:val="360"/>
          <w:marRight w:val="0"/>
          <w:marTop w:val="120"/>
          <w:marBottom w:val="120"/>
          <w:divBdr>
            <w:top w:val="none" w:sz="0" w:space="0" w:color="auto"/>
            <w:left w:val="none" w:sz="0" w:space="0" w:color="auto"/>
            <w:bottom w:val="none" w:sz="0" w:space="0" w:color="auto"/>
            <w:right w:val="none" w:sz="0" w:space="0" w:color="auto"/>
          </w:divBdr>
        </w:div>
      </w:divsChild>
    </w:div>
    <w:div w:id="1072120498">
      <w:bodyDiv w:val="1"/>
      <w:marLeft w:val="0"/>
      <w:marRight w:val="0"/>
      <w:marTop w:val="0"/>
      <w:marBottom w:val="0"/>
      <w:divBdr>
        <w:top w:val="none" w:sz="0" w:space="0" w:color="auto"/>
        <w:left w:val="none" w:sz="0" w:space="0" w:color="auto"/>
        <w:bottom w:val="none" w:sz="0" w:space="0" w:color="auto"/>
        <w:right w:val="none" w:sz="0" w:space="0" w:color="auto"/>
      </w:divBdr>
    </w:div>
    <w:div w:id="1096825933">
      <w:bodyDiv w:val="1"/>
      <w:marLeft w:val="0"/>
      <w:marRight w:val="0"/>
      <w:marTop w:val="0"/>
      <w:marBottom w:val="0"/>
      <w:divBdr>
        <w:top w:val="none" w:sz="0" w:space="0" w:color="auto"/>
        <w:left w:val="none" w:sz="0" w:space="0" w:color="auto"/>
        <w:bottom w:val="none" w:sz="0" w:space="0" w:color="auto"/>
        <w:right w:val="none" w:sz="0" w:space="0" w:color="auto"/>
      </w:divBdr>
    </w:div>
    <w:div w:id="1176188469">
      <w:bodyDiv w:val="1"/>
      <w:marLeft w:val="0"/>
      <w:marRight w:val="0"/>
      <w:marTop w:val="0"/>
      <w:marBottom w:val="0"/>
      <w:divBdr>
        <w:top w:val="none" w:sz="0" w:space="0" w:color="auto"/>
        <w:left w:val="none" w:sz="0" w:space="0" w:color="auto"/>
        <w:bottom w:val="none" w:sz="0" w:space="0" w:color="auto"/>
        <w:right w:val="none" w:sz="0" w:space="0" w:color="auto"/>
      </w:divBdr>
    </w:div>
    <w:div w:id="1209798002">
      <w:bodyDiv w:val="1"/>
      <w:marLeft w:val="0"/>
      <w:marRight w:val="0"/>
      <w:marTop w:val="0"/>
      <w:marBottom w:val="0"/>
      <w:divBdr>
        <w:top w:val="none" w:sz="0" w:space="0" w:color="auto"/>
        <w:left w:val="none" w:sz="0" w:space="0" w:color="auto"/>
        <w:bottom w:val="none" w:sz="0" w:space="0" w:color="auto"/>
        <w:right w:val="none" w:sz="0" w:space="0" w:color="auto"/>
      </w:divBdr>
    </w:div>
    <w:div w:id="1216510518">
      <w:bodyDiv w:val="1"/>
      <w:marLeft w:val="0"/>
      <w:marRight w:val="0"/>
      <w:marTop w:val="0"/>
      <w:marBottom w:val="0"/>
      <w:divBdr>
        <w:top w:val="none" w:sz="0" w:space="0" w:color="auto"/>
        <w:left w:val="none" w:sz="0" w:space="0" w:color="auto"/>
        <w:bottom w:val="none" w:sz="0" w:space="0" w:color="auto"/>
        <w:right w:val="none" w:sz="0" w:space="0" w:color="auto"/>
      </w:divBdr>
    </w:div>
    <w:div w:id="1274705705">
      <w:bodyDiv w:val="1"/>
      <w:marLeft w:val="0"/>
      <w:marRight w:val="0"/>
      <w:marTop w:val="0"/>
      <w:marBottom w:val="0"/>
      <w:divBdr>
        <w:top w:val="none" w:sz="0" w:space="0" w:color="auto"/>
        <w:left w:val="none" w:sz="0" w:space="0" w:color="auto"/>
        <w:bottom w:val="none" w:sz="0" w:space="0" w:color="auto"/>
        <w:right w:val="none" w:sz="0" w:space="0" w:color="auto"/>
      </w:divBdr>
      <w:divsChild>
        <w:div w:id="1767381983">
          <w:marLeft w:val="0"/>
          <w:marRight w:val="0"/>
          <w:marTop w:val="0"/>
          <w:marBottom w:val="0"/>
          <w:divBdr>
            <w:top w:val="none" w:sz="0" w:space="0" w:color="auto"/>
            <w:left w:val="none" w:sz="0" w:space="0" w:color="auto"/>
            <w:bottom w:val="none" w:sz="0" w:space="0" w:color="auto"/>
            <w:right w:val="none" w:sz="0" w:space="0" w:color="auto"/>
          </w:divBdr>
          <w:divsChild>
            <w:div w:id="1703944741">
              <w:marLeft w:val="0"/>
              <w:marRight w:val="0"/>
              <w:marTop w:val="0"/>
              <w:marBottom w:val="0"/>
              <w:divBdr>
                <w:top w:val="none" w:sz="0" w:space="0" w:color="auto"/>
                <w:left w:val="none" w:sz="0" w:space="0" w:color="auto"/>
                <w:bottom w:val="none" w:sz="0" w:space="0" w:color="auto"/>
                <w:right w:val="none" w:sz="0" w:space="0" w:color="auto"/>
              </w:divBdr>
              <w:divsChild>
                <w:div w:id="719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73808">
      <w:bodyDiv w:val="1"/>
      <w:marLeft w:val="0"/>
      <w:marRight w:val="0"/>
      <w:marTop w:val="0"/>
      <w:marBottom w:val="0"/>
      <w:divBdr>
        <w:top w:val="none" w:sz="0" w:space="0" w:color="auto"/>
        <w:left w:val="none" w:sz="0" w:space="0" w:color="auto"/>
        <w:bottom w:val="none" w:sz="0" w:space="0" w:color="auto"/>
        <w:right w:val="none" w:sz="0" w:space="0" w:color="auto"/>
      </w:divBdr>
    </w:div>
    <w:div w:id="1325233021">
      <w:bodyDiv w:val="1"/>
      <w:marLeft w:val="0"/>
      <w:marRight w:val="0"/>
      <w:marTop w:val="0"/>
      <w:marBottom w:val="0"/>
      <w:divBdr>
        <w:top w:val="none" w:sz="0" w:space="0" w:color="auto"/>
        <w:left w:val="none" w:sz="0" w:space="0" w:color="auto"/>
        <w:bottom w:val="none" w:sz="0" w:space="0" w:color="auto"/>
        <w:right w:val="none" w:sz="0" w:space="0" w:color="auto"/>
      </w:divBdr>
    </w:div>
    <w:div w:id="1381318643">
      <w:bodyDiv w:val="1"/>
      <w:marLeft w:val="0"/>
      <w:marRight w:val="0"/>
      <w:marTop w:val="0"/>
      <w:marBottom w:val="0"/>
      <w:divBdr>
        <w:top w:val="none" w:sz="0" w:space="0" w:color="auto"/>
        <w:left w:val="none" w:sz="0" w:space="0" w:color="auto"/>
        <w:bottom w:val="none" w:sz="0" w:space="0" w:color="auto"/>
        <w:right w:val="none" w:sz="0" w:space="0" w:color="auto"/>
      </w:divBdr>
    </w:div>
    <w:div w:id="1411125000">
      <w:bodyDiv w:val="1"/>
      <w:marLeft w:val="0"/>
      <w:marRight w:val="0"/>
      <w:marTop w:val="0"/>
      <w:marBottom w:val="0"/>
      <w:divBdr>
        <w:top w:val="none" w:sz="0" w:space="0" w:color="auto"/>
        <w:left w:val="none" w:sz="0" w:space="0" w:color="auto"/>
        <w:bottom w:val="none" w:sz="0" w:space="0" w:color="auto"/>
        <w:right w:val="none" w:sz="0" w:space="0" w:color="auto"/>
      </w:divBdr>
      <w:divsChild>
        <w:div w:id="481771543">
          <w:marLeft w:val="0"/>
          <w:marRight w:val="0"/>
          <w:marTop w:val="0"/>
          <w:marBottom w:val="0"/>
          <w:divBdr>
            <w:top w:val="none" w:sz="0" w:space="0" w:color="auto"/>
            <w:left w:val="none" w:sz="0" w:space="0" w:color="auto"/>
            <w:bottom w:val="none" w:sz="0" w:space="0" w:color="auto"/>
            <w:right w:val="none" w:sz="0" w:space="0" w:color="auto"/>
          </w:divBdr>
        </w:div>
      </w:divsChild>
    </w:div>
    <w:div w:id="1444886931">
      <w:bodyDiv w:val="1"/>
      <w:marLeft w:val="0"/>
      <w:marRight w:val="0"/>
      <w:marTop w:val="0"/>
      <w:marBottom w:val="0"/>
      <w:divBdr>
        <w:top w:val="none" w:sz="0" w:space="0" w:color="auto"/>
        <w:left w:val="none" w:sz="0" w:space="0" w:color="auto"/>
        <w:bottom w:val="none" w:sz="0" w:space="0" w:color="auto"/>
        <w:right w:val="none" w:sz="0" w:space="0" w:color="auto"/>
      </w:divBdr>
    </w:div>
    <w:div w:id="1499157352">
      <w:bodyDiv w:val="1"/>
      <w:marLeft w:val="0"/>
      <w:marRight w:val="0"/>
      <w:marTop w:val="0"/>
      <w:marBottom w:val="0"/>
      <w:divBdr>
        <w:top w:val="none" w:sz="0" w:space="0" w:color="auto"/>
        <w:left w:val="none" w:sz="0" w:space="0" w:color="auto"/>
        <w:bottom w:val="none" w:sz="0" w:space="0" w:color="auto"/>
        <w:right w:val="none" w:sz="0" w:space="0" w:color="auto"/>
      </w:divBdr>
    </w:div>
    <w:div w:id="1501578669">
      <w:bodyDiv w:val="1"/>
      <w:marLeft w:val="0"/>
      <w:marRight w:val="0"/>
      <w:marTop w:val="0"/>
      <w:marBottom w:val="0"/>
      <w:divBdr>
        <w:top w:val="none" w:sz="0" w:space="0" w:color="auto"/>
        <w:left w:val="none" w:sz="0" w:space="0" w:color="auto"/>
        <w:bottom w:val="none" w:sz="0" w:space="0" w:color="auto"/>
        <w:right w:val="none" w:sz="0" w:space="0" w:color="auto"/>
      </w:divBdr>
      <w:divsChild>
        <w:div w:id="69543380">
          <w:marLeft w:val="360"/>
          <w:marRight w:val="0"/>
          <w:marTop w:val="120"/>
          <w:marBottom w:val="120"/>
          <w:divBdr>
            <w:top w:val="none" w:sz="0" w:space="0" w:color="auto"/>
            <w:left w:val="none" w:sz="0" w:space="0" w:color="auto"/>
            <w:bottom w:val="none" w:sz="0" w:space="0" w:color="auto"/>
            <w:right w:val="none" w:sz="0" w:space="0" w:color="auto"/>
          </w:divBdr>
        </w:div>
      </w:divsChild>
    </w:div>
    <w:div w:id="1572619726">
      <w:bodyDiv w:val="1"/>
      <w:marLeft w:val="0"/>
      <w:marRight w:val="0"/>
      <w:marTop w:val="0"/>
      <w:marBottom w:val="0"/>
      <w:divBdr>
        <w:top w:val="none" w:sz="0" w:space="0" w:color="auto"/>
        <w:left w:val="none" w:sz="0" w:space="0" w:color="auto"/>
        <w:bottom w:val="none" w:sz="0" w:space="0" w:color="auto"/>
        <w:right w:val="none" w:sz="0" w:space="0" w:color="auto"/>
      </w:divBdr>
      <w:divsChild>
        <w:div w:id="707488965">
          <w:marLeft w:val="360"/>
          <w:marRight w:val="0"/>
          <w:marTop w:val="120"/>
          <w:marBottom w:val="120"/>
          <w:divBdr>
            <w:top w:val="none" w:sz="0" w:space="0" w:color="auto"/>
            <w:left w:val="none" w:sz="0" w:space="0" w:color="auto"/>
            <w:bottom w:val="none" w:sz="0" w:space="0" w:color="auto"/>
            <w:right w:val="none" w:sz="0" w:space="0" w:color="auto"/>
          </w:divBdr>
        </w:div>
      </w:divsChild>
    </w:div>
    <w:div w:id="1592079667">
      <w:bodyDiv w:val="1"/>
      <w:marLeft w:val="0"/>
      <w:marRight w:val="0"/>
      <w:marTop w:val="0"/>
      <w:marBottom w:val="0"/>
      <w:divBdr>
        <w:top w:val="none" w:sz="0" w:space="0" w:color="auto"/>
        <w:left w:val="none" w:sz="0" w:space="0" w:color="auto"/>
        <w:bottom w:val="none" w:sz="0" w:space="0" w:color="auto"/>
        <w:right w:val="none" w:sz="0" w:space="0" w:color="auto"/>
      </w:divBdr>
    </w:div>
    <w:div w:id="1636443878">
      <w:bodyDiv w:val="1"/>
      <w:marLeft w:val="0"/>
      <w:marRight w:val="0"/>
      <w:marTop w:val="0"/>
      <w:marBottom w:val="0"/>
      <w:divBdr>
        <w:top w:val="none" w:sz="0" w:space="0" w:color="auto"/>
        <w:left w:val="none" w:sz="0" w:space="0" w:color="auto"/>
        <w:bottom w:val="none" w:sz="0" w:space="0" w:color="auto"/>
        <w:right w:val="none" w:sz="0" w:space="0" w:color="auto"/>
      </w:divBdr>
    </w:div>
    <w:div w:id="1654218815">
      <w:bodyDiv w:val="1"/>
      <w:marLeft w:val="0"/>
      <w:marRight w:val="0"/>
      <w:marTop w:val="0"/>
      <w:marBottom w:val="0"/>
      <w:divBdr>
        <w:top w:val="none" w:sz="0" w:space="0" w:color="auto"/>
        <w:left w:val="none" w:sz="0" w:space="0" w:color="auto"/>
        <w:bottom w:val="none" w:sz="0" w:space="0" w:color="auto"/>
        <w:right w:val="none" w:sz="0" w:space="0" w:color="auto"/>
      </w:divBdr>
      <w:divsChild>
        <w:div w:id="440877283">
          <w:marLeft w:val="360"/>
          <w:marRight w:val="0"/>
          <w:marTop w:val="120"/>
          <w:marBottom w:val="120"/>
          <w:divBdr>
            <w:top w:val="none" w:sz="0" w:space="0" w:color="auto"/>
            <w:left w:val="none" w:sz="0" w:space="0" w:color="auto"/>
            <w:bottom w:val="none" w:sz="0" w:space="0" w:color="auto"/>
            <w:right w:val="none" w:sz="0" w:space="0" w:color="auto"/>
          </w:divBdr>
        </w:div>
      </w:divsChild>
    </w:div>
    <w:div w:id="1655261986">
      <w:bodyDiv w:val="1"/>
      <w:marLeft w:val="0"/>
      <w:marRight w:val="0"/>
      <w:marTop w:val="0"/>
      <w:marBottom w:val="0"/>
      <w:divBdr>
        <w:top w:val="none" w:sz="0" w:space="0" w:color="auto"/>
        <w:left w:val="none" w:sz="0" w:space="0" w:color="auto"/>
        <w:bottom w:val="none" w:sz="0" w:space="0" w:color="auto"/>
        <w:right w:val="none" w:sz="0" w:space="0" w:color="auto"/>
      </w:divBdr>
    </w:div>
    <w:div w:id="1690836357">
      <w:bodyDiv w:val="1"/>
      <w:marLeft w:val="0"/>
      <w:marRight w:val="0"/>
      <w:marTop w:val="0"/>
      <w:marBottom w:val="0"/>
      <w:divBdr>
        <w:top w:val="none" w:sz="0" w:space="0" w:color="auto"/>
        <w:left w:val="none" w:sz="0" w:space="0" w:color="auto"/>
        <w:bottom w:val="none" w:sz="0" w:space="0" w:color="auto"/>
        <w:right w:val="none" w:sz="0" w:space="0" w:color="auto"/>
      </w:divBdr>
    </w:div>
    <w:div w:id="1707412862">
      <w:bodyDiv w:val="1"/>
      <w:marLeft w:val="0"/>
      <w:marRight w:val="0"/>
      <w:marTop w:val="0"/>
      <w:marBottom w:val="0"/>
      <w:divBdr>
        <w:top w:val="none" w:sz="0" w:space="0" w:color="auto"/>
        <w:left w:val="none" w:sz="0" w:space="0" w:color="auto"/>
        <w:bottom w:val="none" w:sz="0" w:space="0" w:color="auto"/>
        <w:right w:val="none" w:sz="0" w:space="0" w:color="auto"/>
      </w:divBdr>
    </w:div>
    <w:div w:id="1757437060">
      <w:bodyDiv w:val="1"/>
      <w:marLeft w:val="0"/>
      <w:marRight w:val="0"/>
      <w:marTop w:val="0"/>
      <w:marBottom w:val="0"/>
      <w:divBdr>
        <w:top w:val="none" w:sz="0" w:space="0" w:color="auto"/>
        <w:left w:val="none" w:sz="0" w:space="0" w:color="auto"/>
        <w:bottom w:val="none" w:sz="0" w:space="0" w:color="auto"/>
        <w:right w:val="none" w:sz="0" w:space="0" w:color="auto"/>
      </w:divBdr>
    </w:div>
    <w:div w:id="1788427043">
      <w:bodyDiv w:val="1"/>
      <w:marLeft w:val="0"/>
      <w:marRight w:val="0"/>
      <w:marTop w:val="0"/>
      <w:marBottom w:val="0"/>
      <w:divBdr>
        <w:top w:val="none" w:sz="0" w:space="0" w:color="auto"/>
        <w:left w:val="none" w:sz="0" w:space="0" w:color="auto"/>
        <w:bottom w:val="none" w:sz="0" w:space="0" w:color="auto"/>
        <w:right w:val="none" w:sz="0" w:space="0" w:color="auto"/>
      </w:divBdr>
      <w:divsChild>
        <w:div w:id="1609654637">
          <w:marLeft w:val="360"/>
          <w:marRight w:val="0"/>
          <w:marTop w:val="120"/>
          <w:marBottom w:val="120"/>
          <w:divBdr>
            <w:top w:val="none" w:sz="0" w:space="0" w:color="auto"/>
            <w:left w:val="none" w:sz="0" w:space="0" w:color="auto"/>
            <w:bottom w:val="none" w:sz="0" w:space="0" w:color="auto"/>
            <w:right w:val="none" w:sz="0" w:space="0" w:color="auto"/>
          </w:divBdr>
        </w:div>
        <w:div w:id="1470785419">
          <w:marLeft w:val="360"/>
          <w:marRight w:val="0"/>
          <w:marTop w:val="120"/>
          <w:marBottom w:val="120"/>
          <w:divBdr>
            <w:top w:val="none" w:sz="0" w:space="0" w:color="auto"/>
            <w:left w:val="none" w:sz="0" w:space="0" w:color="auto"/>
            <w:bottom w:val="none" w:sz="0" w:space="0" w:color="auto"/>
            <w:right w:val="none" w:sz="0" w:space="0" w:color="auto"/>
          </w:divBdr>
        </w:div>
      </w:divsChild>
    </w:div>
    <w:div w:id="1808811742">
      <w:bodyDiv w:val="1"/>
      <w:marLeft w:val="0"/>
      <w:marRight w:val="0"/>
      <w:marTop w:val="0"/>
      <w:marBottom w:val="0"/>
      <w:divBdr>
        <w:top w:val="none" w:sz="0" w:space="0" w:color="auto"/>
        <w:left w:val="none" w:sz="0" w:space="0" w:color="auto"/>
        <w:bottom w:val="none" w:sz="0" w:space="0" w:color="auto"/>
        <w:right w:val="none" w:sz="0" w:space="0" w:color="auto"/>
      </w:divBdr>
      <w:divsChild>
        <w:div w:id="1091007225">
          <w:marLeft w:val="360"/>
          <w:marRight w:val="0"/>
          <w:marTop w:val="120"/>
          <w:marBottom w:val="120"/>
          <w:divBdr>
            <w:top w:val="none" w:sz="0" w:space="0" w:color="auto"/>
            <w:left w:val="none" w:sz="0" w:space="0" w:color="auto"/>
            <w:bottom w:val="none" w:sz="0" w:space="0" w:color="auto"/>
            <w:right w:val="none" w:sz="0" w:space="0" w:color="auto"/>
          </w:divBdr>
        </w:div>
      </w:divsChild>
    </w:div>
    <w:div w:id="1831940834">
      <w:bodyDiv w:val="1"/>
      <w:marLeft w:val="0"/>
      <w:marRight w:val="0"/>
      <w:marTop w:val="0"/>
      <w:marBottom w:val="0"/>
      <w:divBdr>
        <w:top w:val="none" w:sz="0" w:space="0" w:color="auto"/>
        <w:left w:val="none" w:sz="0" w:space="0" w:color="auto"/>
        <w:bottom w:val="none" w:sz="0" w:space="0" w:color="auto"/>
        <w:right w:val="none" w:sz="0" w:space="0" w:color="auto"/>
      </w:divBdr>
    </w:div>
    <w:div w:id="1846167876">
      <w:bodyDiv w:val="1"/>
      <w:marLeft w:val="0"/>
      <w:marRight w:val="0"/>
      <w:marTop w:val="0"/>
      <w:marBottom w:val="0"/>
      <w:divBdr>
        <w:top w:val="none" w:sz="0" w:space="0" w:color="auto"/>
        <w:left w:val="none" w:sz="0" w:space="0" w:color="auto"/>
        <w:bottom w:val="none" w:sz="0" w:space="0" w:color="auto"/>
        <w:right w:val="none" w:sz="0" w:space="0" w:color="auto"/>
      </w:divBdr>
    </w:div>
    <w:div w:id="1875995320">
      <w:bodyDiv w:val="1"/>
      <w:marLeft w:val="0"/>
      <w:marRight w:val="0"/>
      <w:marTop w:val="0"/>
      <w:marBottom w:val="0"/>
      <w:divBdr>
        <w:top w:val="none" w:sz="0" w:space="0" w:color="auto"/>
        <w:left w:val="none" w:sz="0" w:space="0" w:color="auto"/>
        <w:bottom w:val="none" w:sz="0" w:space="0" w:color="auto"/>
        <w:right w:val="none" w:sz="0" w:space="0" w:color="auto"/>
      </w:divBdr>
    </w:div>
    <w:div w:id="1905557292">
      <w:bodyDiv w:val="1"/>
      <w:marLeft w:val="0"/>
      <w:marRight w:val="0"/>
      <w:marTop w:val="0"/>
      <w:marBottom w:val="0"/>
      <w:divBdr>
        <w:top w:val="none" w:sz="0" w:space="0" w:color="auto"/>
        <w:left w:val="none" w:sz="0" w:space="0" w:color="auto"/>
        <w:bottom w:val="none" w:sz="0" w:space="0" w:color="auto"/>
        <w:right w:val="none" w:sz="0" w:space="0" w:color="auto"/>
      </w:divBdr>
    </w:div>
    <w:div w:id="1914658241">
      <w:bodyDiv w:val="1"/>
      <w:marLeft w:val="0"/>
      <w:marRight w:val="0"/>
      <w:marTop w:val="0"/>
      <w:marBottom w:val="0"/>
      <w:divBdr>
        <w:top w:val="none" w:sz="0" w:space="0" w:color="auto"/>
        <w:left w:val="none" w:sz="0" w:space="0" w:color="auto"/>
        <w:bottom w:val="none" w:sz="0" w:space="0" w:color="auto"/>
        <w:right w:val="none" w:sz="0" w:space="0" w:color="auto"/>
      </w:divBdr>
    </w:div>
    <w:div w:id="1942031475">
      <w:bodyDiv w:val="1"/>
      <w:marLeft w:val="0"/>
      <w:marRight w:val="0"/>
      <w:marTop w:val="0"/>
      <w:marBottom w:val="0"/>
      <w:divBdr>
        <w:top w:val="none" w:sz="0" w:space="0" w:color="auto"/>
        <w:left w:val="none" w:sz="0" w:space="0" w:color="auto"/>
        <w:bottom w:val="none" w:sz="0" w:space="0" w:color="auto"/>
        <w:right w:val="none" w:sz="0" w:space="0" w:color="auto"/>
      </w:divBdr>
    </w:div>
    <w:div w:id="1947299370">
      <w:bodyDiv w:val="1"/>
      <w:marLeft w:val="0"/>
      <w:marRight w:val="0"/>
      <w:marTop w:val="0"/>
      <w:marBottom w:val="0"/>
      <w:divBdr>
        <w:top w:val="none" w:sz="0" w:space="0" w:color="auto"/>
        <w:left w:val="none" w:sz="0" w:space="0" w:color="auto"/>
        <w:bottom w:val="none" w:sz="0" w:space="0" w:color="auto"/>
        <w:right w:val="none" w:sz="0" w:space="0" w:color="auto"/>
      </w:divBdr>
    </w:div>
    <w:div w:id="1960142294">
      <w:bodyDiv w:val="1"/>
      <w:marLeft w:val="0"/>
      <w:marRight w:val="0"/>
      <w:marTop w:val="0"/>
      <w:marBottom w:val="0"/>
      <w:divBdr>
        <w:top w:val="none" w:sz="0" w:space="0" w:color="auto"/>
        <w:left w:val="none" w:sz="0" w:space="0" w:color="auto"/>
        <w:bottom w:val="none" w:sz="0" w:space="0" w:color="auto"/>
        <w:right w:val="none" w:sz="0" w:space="0" w:color="auto"/>
      </w:divBdr>
    </w:div>
    <w:div w:id="1962615024">
      <w:bodyDiv w:val="1"/>
      <w:marLeft w:val="0"/>
      <w:marRight w:val="0"/>
      <w:marTop w:val="0"/>
      <w:marBottom w:val="0"/>
      <w:divBdr>
        <w:top w:val="none" w:sz="0" w:space="0" w:color="auto"/>
        <w:left w:val="none" w:sz="0" w:space="0" w:color="auto"/>
        <w:bottom w:val="none" w:sz="0" w:space="0" w:color="auto"/>
        <w:right w:val="none" w:sz="0" w:space="0" w:color="auto"/>
      </w:divBdr>
    </w:div>
    <w:div w:id="1988049888">
      <w:bodyDiv w:val="1"/>
      <w:marLeft w:val="0"/>
      <w:marRight w:val="0"/>
      <w:marTop w:val="0"/>
      <w:marBottom w:val="0"/>
      <w:divBdr>
        <w:top w:val="none" w:sz="0" w:space="0" w:color="auto"/>
        <w:left w:val="none" w:sz="0" w:space="0" w:color="auto"/>
        <w:bottom w:val="none" w:sz="0" w:space="0" w:color="auto"/>
        <w:right w:val="none" w:sz="0" w:space="0" w:color="auto"/>
      </w:divBdr>
      <w:divsChild>
        <w:div w:id="209534002">
          <w:marLeft w:val="360"/>
          <w:marRight w:val="0"/>
          <w:marTop w:val="240"/>
          <w:marBottom w:val="0"/>
          <w:divBdr>
            <w:top w:val="none" w:sz="0" w:space="0" w:color="auto"/>
            <w:left w:val="none" w:sz="0" w:space="0" w:color="auto"/>
            <w:bottom w:val="none" w:sz="0" w:space="0" w:color="auto"/>
            <w:right w:val="none" w:sz="0" w:space="0" w:color="auto"/>
          </w:divBdr>
        </w:div>
      </w:divsChild>
    </w:div>
    <w:div w:id="2086023090">
      <w:bodyDiv w:val="1"/>
      <w:marLeft w:val="0"/>
      <w:marRight w:val="0"/>
      <w:marTop w:val="0"/>
      <w:marBottom w:val="0"/>
      <w:divBdr>
        <w:top w:val="none" w:sz="0" w:space="0" w:color="auto"/>
        <w:left w:val="none" w:sz="0" w:space="0" w:color="auto"/>
        <w:bottom w:val="none" w:sz="0" w:space="0" w:color="auto"/>
        <w:right w:val="none" w:sz="0" w:space="0" w:color="auto"/>
      </w:divBdr>
    </w:div>
    <w:div w:id="2106874124">
      <w:bodyDiv w:val="1"/>
      <w:marLeft w:val="0"/>
      <w:marRight w:val="0"/>
      <w:marTop w:val="0"/>
      <w:marBottom w:val="0"/>
      <w:divBdr>
        <w:top w:val="none" w:sz="0" w:space="0" w:color="auto"/>
        <w:left w:val="none" w:sz="0" w:space="0" w:color="auto"/>
        <w:bottom w:val="none" w:sz="0" w:space="0" w:color="auto"/>
        <w:right w:val="none" w:sz="0" w:space="0" w:color="auto"/>
      </w:divBdr>
      <w:divsChild>
        <w:div w:id="735854983">
          <w:marLeft w:val="0"/>
          <w:marRight w:val="0"/>
          <w:marTop w:val="0"/>
          <w:marBottom w:val="0"/>
          <w:divBdr>
            <w:top w:val="none" w:sz="0" w:space="0" w:color="auto"/>
            <w:left w:val="none" w:sz="0" w:space="0" w:color="auto"/>
            <w:bottom w:val="none" w:sz="0" w:space="0" w:color="auto"/>
            <w:right w:val="none" w:sz="0" w:space="0" w:color="auto"/>
          </w:divBdr>
        </w:div>
      </w:divsChild>
    </w:div>
    <w:div w:id="2107726218">
      <w:bodyDiv w:val="1"/>
      <w:marLeft w:val="0"/>
      <w:marRight w:val="0"/>
      <w:marTop w:val="0"/>
      <w:marBottom w:val="0"/>
      <w:divBdr>
        <w:top w:val="none" w:sz="0" w:space="0" w:color="auto"/>
        <w:left w:val="none" w:sz="0" w:space="0" w:color="auto"/>
        <w:bottom w:val="none" w:sz="0" w:space="0" w:color="auto"/>
        <w:right w:val="none" w:sz="0" w:space="0" w:color="auto"/>
      </w:divBdr>
    </w:div>
    <w:div w:id="2110006270">
      <w:bodyDiv w:val="1"/>
      <w:marLeft w:val="0"/>
      <w:marRight w:val="0"/>
      <w:marTop w:val="0"/>
      <w:marBottom w:val="0"/>
      <w:divBdr>
        <w:top w:val="none" w:sz="0" w:space="0" w:color="auto"/>
        <w:left w:val="none" w:sz="0" w:space="0" w:color="auto"/>
        <w:bottom w:val="none" w:sz="0" w:space="0" w:color="auto"/>
        <w:right w:val="none" w:sz="0" w:space="0" w:color="auto"/>
      </w:divBdr>
    </w:div>
    <w:div w:id="2114014788">
      <w:bodyDiv w:val="1"/>
      <w:marLeft w:val="0"/>
      <w:marRight w:val="0"/>
      <w:marTop w:val="0"/>
      <w:marBottom w:val="0"/>
      <w:divBdr>
        <w:top w:val="none" w:sz="0" w:space="0" w:color="auto"/>
        <w:left w:val="none" w:sz="0" w:space="0" w:color="auto"/>
        <w:bottom w:val="none" w:sz="0" w:space="0" w:color="auto"/>
        <w:right w:val="none" w:sz="0" w:space="0" w:color="auto"/>
      </w:divBdr>
    </w:div>
    <w:div w:id="213058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iara.gnocchi@novatis.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ubmed.ncbi.nlm.nih.gov/26985056/"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cp.novartis.com/virtual-congress/a-2021/"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termedia@intermedianews.it"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s://www.novartis.com" TargetMode="External"/><Relationship Id="rId2" Type="http://schemas.openxmlformats.org/officeDocument/2006/relationships/hyperlink" Target="https://www.novartis.com" TargetMode="External"/><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Novartis 2016">
  <a:themeElements>
    <a:clrScheme name="Novartis 2016">
      <a:dk1>
        <a:srgbClr val="000000"/>
      </a:dk1>
      <a:lt1>
        <a:srgbClr val="FFFFFF"/>
      </a:lt1>
      <a:dk2>
        <a:srgbClr val="404040"/>
      </a:dk2>
      <a:lt2>
        <a:srgbClr val="CCCCCC"/>
      </a:lt2>
      <a:accent1>
        <a:srgbClr val="0460A9"/>
      </a:accent1>
      <a:accent2>
        <a:srgbClr val="E74A21"/>
      </a:accent2>
      <a:accent3>
        <a:srgbClr val="EC9A1E"/>
      </a:accent3>
      <a:accent4>
        <a:srgbClr val="8D1F1B"/>
      </a:accent4>
      <a:accent5>
        <a:srgbClr val="7F7F7F"/>
      </a:accent5>
      <a:accent6>
        <a:srgbClr val="404040"/>
      </a:accent6>
      <a:hlink>
        <a:srgbClr val="0460A9"/>
      </a:hlink>
      <a:folHlink>
        <a:srgbClr val="0460A9"/>
      </a:folHlink>
    </a:clrScheme>
    <a:fontScheme name="Novartis 2016">
      <a:majorFont>
        <a:latin typeface="Arial"/>
        <a:ea typeface=""/>
        <a:cs typeface=""/>
      </a:majorFont>
      <a:minorFont>
        <a:latin typeface="Arial"/>
        <a:ea typeface=""/>
        <a:cs typeface=""/>
      </a:minorFont>
    </a:fontScheme>
    <a:fmtScheme name="Novartis 2016">
      <a:fillStyleLst>
        <a:solidFill>
          <a:schemeClr val="phClr"/>
        </a:solidFill>
        <a:solidFill>
          <a:schemeClr val="phClr"/>
        </a:solidFill>
        <a:solidFill>
          <a:schemeClr val="phClr"/>
        </a:solidFill>
      </a:fillStyleLst>
      <a:lnStyleLst>
        <a:ln w="12700" cap="sq" cmpd="sng" algn="ctr">
          <a:solidFill>
            <a:schemeClr val="phClr"/>
          </a:solidFill>
          <a:prstDash val="solid"/>
        </a:ln>
        <a:ln w="12700" cap="sq" cmpd="sng" algn="ctr">
          <a:solidFill>
            <a:schemeClr val="phClr"/>
          </a:solidFill>
          <a:prstDash val="solid"/>
        </a:ln>
        <a:ln w="12700" cap="sq"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4ADC389025CD4895C396E4EF300766" ma:contentTypeVersion="14" ma:contentTypeDescription="Create a new document." ma:contentTypeScope="" ma:versionID="e78b723b49a3887a97c7c97a8b07d568">
  <xsd:schema xmlns:xsd="http://www.w3.org/2001/XMLSchema" xmlns:xs="http://www.w3.org/2001/XMLSchema" xmlns:p="http://schemas.microsoft.com/office/2006/metadata/properties" xmlns:ns3="970a27ac-d390-4dec-a5a9-88d3ecfaa087" xmlns:ns4="ccb9e8f0-803e-4db8-87c5-a538489fd621" targetNamespace="http://schemas.microsoft.com/office/2006/metadata/properties" ma:root="true" ma:fieldsID="6e07073816b5994715db2eef664f1923" ns3:_="" ns4:_="">
    <xsd:import namespace="970a27ac-d390-4dec-a5a9-88d3ecfaa087"/>
    <xsd:import namespace="ccb9e8f0-803e-4db8-87c5-a538489fd6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a27ac-d390-4dec-a5a9-88d3ecfaa0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b9e8f0-803e-4db8-87c5-a538489fd62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D1DC2-E4F8-4AB3-A3AE-B7A7EC4ED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a27ac-d390-4dec-a5a9-88d3ecfaa087"/>
    <ds:schemaRef ds:uri="ccb9e8f0-803e-4db8-87c5-a538489fd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37F773-1A58-4225-ABCD-D35B8D3F87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5F3A15-D35D-48BE-84C4-28395BCD045C}">
  <ds:schemaRefs>
    <ds:schemaRef ds:uri="http://schemas.microsoft.com/sharepoint/v3/contenttype/forms"/>
  </ds:schemaRefs>
</ds:datastoreItem>
</file>

<file path=customXml/itemProps4.xml><?xml version="1.0" encoding="utf-8"?>
<ds:datastoreItem xmlns:ds="http://schemas.openxmlformats.org/officeDocument/2006/customXml" ds:itemID="{D1DBD713-CFF4-4F99-8E0C-54DA5D07B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3065</Words>
  <Characters>17473</Characters>
  <Application>Microsoft Office Word</Application>
  <DocSecurity>0</DocSecurity>
  <Lines>145</Lines>
  <Paragraphs>40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Novartis Media Release - RUXCOVID FIR - FINAL.docx</vt:lpstr>
      <vt:lpstr>Novartis Media Release - RUXCOVID FIR - FINAL.docx</vt:lpstr>
    </vt:vector>
  </TitlesOfParts>
  <Company>Novartis</Company>
  <LinksUpToDate>false</LinksUpToDate>
  <CharactersWithSpaces>20498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Novartis Media Release - RUXCOVID FIR - FINAL.docx</dc:title>
  <dc:creator>Microsoft Office User</dc:creator>
  <cp:lastModifiedBy>Paolo Cabra</cp:lastModifiedBy>
  <cp:revision>6</cp:revision>
  <cp:lastPrinted>2020-12-12T16:24:00Z</cp:lastPrinted>
  <dcterms:created xsi:type="dcterms:W3CDTF">2021-06-03T07:34:00Z</dcterms:created>
  <dcterms:modified xsi:type="dcterms:W3CDTF">2021-06-03T08:04:00Z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29bff8-5b33-42aa-95d2-28f72e792cb0_Enabled">
    <vt:lpwstr>True</vt:lpwstr>
  </property>
  <property fmtid="{D5CDD505-2E9C-101B-9397-08002B2CF9AE}" pid="3" name="MSIP_Label_4929bff8-5b33-42aa-95d2-28f72e792cb0_SiteId">
    <vt:lpwstr>f35a6974-607f-47d4-82d7-ff31d7dc53a5</vt:lpwstr>
  </property>
  <property fmtid="{D5CDD505-2E9C-101B-9397-08002B2CF9AE}" pid="4" name="MSIP_Label_4929bff8-5b33-42aa-95d2-28f72e792cb0_SetDate">
    <vt:lpwstr>2019-05-27T14:29:09.8002297Z</vt:lpwstr>
  </property>
  <property fmtid="{D5CDD505-2E9C-101B-9397-08002B2CF9AE}" pid="5" name="MSIP_Label_4929bff8-5b33-42aa-95d2-28f72e792cb0_Name">
    <vt:lpwstr>Business Use Only</vt:lpwstr>
  </property>
  <property fmtid="{D5CDD505-2E9C-101B-9397-08002B2CF9AE}" pid="6" name="MSIP_Label_4929bff8-5b33-42aa-95d2-28f72e792cb0_Extended_MSFT_Method">
    <vt:lpwstr>Automatic</vt:lpwstr>
  </property>
  <property fmtid="{D5CDD505-2E9C-101B-9397-08002B2CF9AE}" pid="7" name="Confidentiality">
    <vt:lpwstr>Business Use Only</vt:lpwstr>
  </property>
  <property fmtid="{D5CDD505-2E9C-101B-9397-08002B2CF9AE}" pid="8" name="ContentTypeId">
    <vt:lpwstr>0x010100794ADC389025CD4895C396E4EF300766</vt:lpwstr>
  </property>
  <property fmtid="{D5CDD505-2E9C-101B-9397-08002B2CF9AE}" pid="9" name="RefMsgCountry">
    <vt:lpwstr>707;#Group|3c7e8f75-c269-4c34-873a-3099b85057dd</vt:lpwstr>
  </property>
  <property fmtid="{D5CDD505-2E9C-101B-9397-08002B2CF9AE}" pid="10" name="RegMsgTopicStatus">
    <vt:lpwstr>454;#1|5dbbdc98-3942-4b81-9025-3ba98fb1b93b</vt:lpwstr>
  </property>
  <property fmtid="{D5CDD505-2E9C-101B-9397-08002B2CF9AE}" pid="11" name="RefMsgDivisions">
    <vt:lpwstr>489;#Oncology|4435bf9a-bd6a-47f9-8795-791e53f16fb0</vt:lpwstr>
  </property>
  <property fmtid="{D5CDD505-2E9C-101B-9397-08002B2CF9AE}" pid="12" name="RefMsgKeywords">
    <vt:lpwstr>745;#Cli|4b6e277d-ac0d-4b18-b7ac-4b608c79b710;#1373;#Clinical Trial|3f3b5605-3b37-465b-8ce3-132c1bd1aa3e;#1865;#COVID-19|4e20bfdd-2d31-4a1b-aff5-9b064a2ab3b5;#1474;#Jakavi|2ecc503e-f167-42e9-ab82-b8d782ec99db</vt:lpwstr>
  </property>
  <property fmtid="{D5CDD505-2E9C-101B-9397-08002B2CF9AE}" pid="13" name="RefMsgProduct">
    <vt:lpwstr>872;#Jakavi (ruxolitinib)|ad75e6e8-45d1-4277-8546-1f6b7baac286</vt:lpwstr>
  </property>
  <property fmtid="{D5CDD505-2E9C-101B-9397-08002B2CF9AE}" pid="14" name="RefMsgProductMP">
    <vt:lpwstr/>
  </property>
  <property fmtid="{D5CDD505-2E9C-101B-9397-08002B2CF9AE}" pid="15" name="Multivalues">
    <vt:lpwstr/>
  </property>
  <property fmtid="{D5CDD505-2E9C-101B-9397-08002B2CF9AE}" pid="16" name="RefMsgKeywordsMP">
    <vt:lpwstr/>
  </property>
  <property fmtid="{D5CDD505-2E9C-101B-9397-08002B2CF9AE}" pid="17" name="RefMsgDivisionsMP">
    <vt:lpwstr/>
  </property>
  <property fmtid="{D5CDD505-2E9C-101B-9397-08002B2CF9AE}" pid="18" name="RefMsgCountryMP">
    <vt:lpwstr/>
  </property>
  <property fmtid="{D5CDD505-2E9C-101B-9397-08002B2CF9AE}" pid="19" name="RegMsgTopicStatusMP">
    <vt:lpwstr/>
  </property>
</Properties>
</file>