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183F7" w14:textId="77777777" w:rsidR="007B32D1" w:rsidRPr="00254C56" w:rsidRDefault="007B32D1" w:rsidP="007B32D1">
      <w:pPr>
        <w:rPr>
          <w:noProof/>
          <w:sz w:val="22"/>
          <w:szCs w:val="22"/>
        </w:rPr>
      </w:pPr>
    </w:p>
    <w:p w14:paraId="0BB05BD9" w14:textId="77777777" w:rsidR="007B32D1" w:rsidRPr="00254C56" w:rsidRDefault="007B32D1" w:rsidP="007B32D1">
      <w:pPr>
        <w:rPr>
          <w:noProof/>
          <w:sz w:val="22"/>
          <w:szCs w:val="22"/>
        </w:rPr>
      </w:pPr>
    </w:p>
    <w:p w14:paraId="07C04164" w14:textId="77777777" w:rsidR="007B32D1" w:rsidRPr="00254C56" w:rsidRDefault="007B32D1" w:rsidP="007B32D1">
      <w:pPr>
        <w:rPr>
          <w:noProof/>
          <w:sz w:val="22"/>
          <w:szCs w:val="22"/>
        </w:rPr>
      </w:pPr>
    </w:p>
    <w:p w14:paraId="75995D96" w14:textId="77777777" w:rsidR="007B32D1" w:rsidRPr="00254C56" w:rsidRDefault="007B32D1" w:rsidP="007B32D1">
      <w:pPr>
        <w:rPr>
          <w:noProof/>
          <w:sz w:val="22"/>
          <w:szCs w:val="22"/>
        </w:rPr>
      </w:pPr>
    </w:p>
    <w:p w14:paraId="17A82F8B" w14:textId="77777777" w:rsidR="007B32D1" w:rsidRPr="00254C56" w:rsidRDefault="007B32D1" w:rsidP="007B32D1">
      <w:pPr>
        <w:rPr>
          <w:noProof/>
          <w:sz w:val="22"/>
          <w:szCs w:val="22"/>
        </w:rPr>
      </w:pPr>
    </w:p>
    <w:p w14:paraId="2A349847" w14:textId="77777777" w:rsidR="007B32D1" w:rsidRPr="00254C56" w:rsidRDefault="007B32D1" w:rsidP="007B32D1">
      <w:pPr>
        <w:rPr>
          <w:noProof/>
          <w:sz w:val="22"/>
          <w:szCs w:val="22"/>
        </w:rPr>
      </w:pPr>
    </w:p>
    <w:p w14:paraId="3EC298C9" w14:textId="77777777" w:rsidR="007B32D1" w:rsidRPr="00254C56" w:rsidRDefault="007B32D1" w:rsidP="007B32D1">
      <w:pPr>
        <w:rPr>
          <w:noProof/>
          <w:sz w:val="22"/>
          <w:szCs w:val="22"/>
        </w:rPr>
      </w:pPr>
    </w:p>
    <w:p w14:paraId="4A6C2B50" w14:textId="77777777" w:rsidR="00254C56" w:rsidRPr="00254C56" w:rsidRDefault="00254C56" w:rsidP="007B32D1">
      <w:pPr>
        <w:rPr>
          <w:noProof/>
          <w:sz w:val="22"/>
          <w:szCs w:val="22"/>
        </w:rPr>
      </w:pPr>
    </w:p>
    <w:p w14:paraId="32C6832A" w14:textId="77777777" w:rsidR="007B3419" w:rsidRDefault="007B3419" w:rsidP="007B3419">
      <w:pPr>
        <w:rPr>
          <w:sz w:val="28"/>
          <w:szCs w:val="26"/>
        </w:rPr>
      </w:pPr>
    </w:p>
    <w:p w14:paraId="098F976F" w14:textId="77777777" w:rsidR="00271B54" w:rsidRPr="00AC1CDF" w:rsidRDefault="00271B54" w:rsidP="007B3419">
      <w:pPr>
        <w:rPr>
          <w:b/>
          <w:sz w:val="28"/>
          <w:szCs w:val="26"/>
          <w:lang w:val="it-IT"/>
        </w:rPr>
      </w:pPr>
    </w:p>
    <w:p w14:paraId="40275362" w14:textId="271DD74C" w:rsidR="007D1985" w:rsidRPr="00AE4314" w:rsidRDefault="00F25943" w:rsidP="007B3419">
      <w:pPr>
        <w:rPr>
          <w:b/>
          <w:sz w:val="28"/>
          <w:szCs w:val="26"/>
          <w:lang w:val="it-IT"/>
        </w:rPr>
      </w:pPr>
      <w:r w:rsidRPr="00AC1CDF">
        <w:rPr>
          <w:b/>
          <w:sz w:val="28"/>
          <w:szCs w:val="26"/>
          <w:lang w:val="it-IT"/>
        </w:rPr>
        <w:t xml:space="preserve">Tumore della mammella: </w:t>
      </w:r>
      <w:r w:rsidR="001C51C2" w:rsidRPr="00AC1CDF">
        <w:rPr>
          <w:b/>
          <w:sz w:val="28"/>
          <w:szCs w:val="26"/>
          <w:lang w:val="it-IT"/>
        </w:rPr>
        <w:t>i nuovi dati di</w:t>
      </w:r>
      <w:r w:rsidR="007D1985" w:rsidRPr="00AC1CDF">
        <w:rPr>
          <w:b/>
          <w:sz w:val="28"/>
          <w:szCs w:val="26"/>
          <w:lang w:val="it-IT"/>
        </w:rPr>
        <w:t xml:space="preserve"> r</w:t>
      </w:r>
      <w:r w:rsidRPr="00AC1CDF">
        <w:rPr>
          <w:b/>
          <w:sz w:val="28"/>
          <w:szCs w:val="26"/>
          <w:lang w:val="it-IT"/>
        </w:rPr>
        <w:t>ibociclib</w:t>
      </w:r>
      <w:r w:rsidR="001C51C2" w:rsidRPr="00AC1CDF">
        <w:rPr>
          <w:b/>
          <w:sz w:val="28"/>
          <w:szCs w:val="26"/>
          <w:lang w:val="it-IT"/>
        </w:rPr>
        <w:t xml:space="preserve"> riportano la più lunga</w:t>
      </w:r>
      <w:r w:rsidR="00FD1A34" w:rsidRPr="00AC1CDF">
        <w:rPr>
          <w:b/>
          <w:sz w:val="28"/>
          <w:szCs w:val="26"/>
          <w:lang w:val="it-IT"/>
        </w:rPr>
        <w:t xml:space="preserve"> </w:t>
      </w:r>
      <w:r w:rsidR="007D1985" w:rsidRPr="00AC1CDF">
        <w:rPr>
          <w:b/>
          <w:sz w:val="28"/>
          <w:szCs w:val="26"/>
          <w:lang w:val="it-IT"/>
        </w:rPr>
        <w:t xml:space="preserve">sopravvivenza </w:t>
      </w:r>
      <w:r w:rsidR="0005103C" w:rsidRPr="00AC1CDF">
        <w:rPr>
          <w:b/>
          <w:sz w:val="28"/>
          <w:szCs w:val="26"/>
          <w:lang w:val="it-IT"/>
        </w:rPr>
        <w:t xml:space="preserve">globale </w:t>
      </w:r>
      <w:r w:rsidR="007D1985" w:rsidRPr="00AC1CDF">
        <w:rPr>
          <w:b/>
          <w:sz w:val="28"/>
          <w:szCs w:val="26"/>
          <w:lang w:val="it-IT"/>
        </w:rPr>
        <w:t>nella malattia avanzata</w:t>
      </w:r>
      <w:r w:rsidR="001C51C2" w:rsidRPr="00AC1CDF">
        <w:rPr>
          <w:b/>
          <w:sz w:val="28"/>
          <w:szCs w:val="26"/>
          <w:lang w:val="it-IT"/>
        </w:rPr>
        <w:t xml:space="preserve"> HR+HER2-.</w:t>
      </w:r>
      <w:r w:rsidR="00AC1CDF" w:rsidRPr="00AC1CDF">
        <w:rPr>
          <w:b/>
          <w:sz w:val="28"/>
          <w:szCs w:val="26"/>
          <w:lang w:val="it-IT"/>
        </w:rPr>
        <w:t xml:space="preserve"> </w:t>
      </w:r>
      <w:r w:rsidR="001C51C2" w:rsidRPr="00AC1CDF">
        <w:rPr>
          <w:b/>
          <w:sz w:val="28"/>
          <w:szCs w:val="26"/>
          <w:lang w:val="it-IT"/>
        </w:rPr>
        <w:t>La metà delle pazienti vive oltre 5 anni</w:t>
      </w:r>
    </w:p>
    <w:p w14:paraId="71BAE0E4" w14:textId="77777777" w:rsidR="007B3419" w:rsidRPr="00AE4314" w:rsidRDefault="007B3419" w:rsidP="007B3419">
      <w:pPr>
        <w:rPr>
          <w:b/>
          <w:lang w:val="it-IT"/>
        </w:rPr>
      </w:pPr>
    </w:p>
    <w:p w14:paraId="672A503D" w14:textId="72E2528E" w:rsidR="000F2077" w:rsidRPr="00AE4314" w:rsidRDefault="00CD7C6B" w:rsidP="00AC1CDF">
      <w:pPr>
        <w:pStyle w:val="Paragrafoelenco"/>
        <w:numPr>
          <w:ilvl w:val="0"/>
          <w:numId w:val="19"/>
        </w:numPr>
        <w:jc w:val="both"/>
        <w:rPr>
          <w:i/>
          <w:iCs/>
          <w:sz w:val="22"/>
          <w:szCs w:val="22"/>
          <w:lang w:val="it-IT"/>
        </w:rPr>
      </w:pPr>
      <w:r w:rsidRPr="00FB77EB">
        <w:rPr>
          <w:i/>
          <w:iCs/>
          <w:sz w:val="22"/>
          <w:szCs w:val="22"/>
          <w:lang w:val="it-IT"/>
        </w:rPr>
        <w:t xml:space="preserve">Con l’analisi </w:t>
      </w:r>
      <w:r w:rsidRPr="00AE4314">
        <w:rPr>
          <w:i/>
          <w:iCs/>
          <w:sz w:val="22"/>
          <w:szCs w:val="22"/>
          <w:lang w:val="it-IT"/>
        </w:rPr>
        <w:t>finale d</w:t>
      </w:r>
      <w:r w:rsidR="001C51C2" w:rsidRPr="00AE4314">
        <w:rPr>
          <w:i/>
          <w:iCs/>
          <w:sz w:val="22"/>
          <w:szCs w:val="22"/>
          <w:lang w:val="it-IT"/>
        </w:rPr>
        <w:t>ello studio</w:t>
      </w:r>
      <w:r w:rsidRPr="00AE4314">
        <w:rPr>
          <w:i/>
          <w:iCs/>
          <w:sz w:val="22"/>
          <w:szCs w:val="22"/>
          <w:lang w:val="it-IT"/>
        </w:rPr>
        <w:t xml:space="preserve"> </w:t>
      </w:r>
      <w:r w:rsidR="000F2077" w:rsidRPr="00AE4314">
        <w:rPr>
          <w:i/>
          <w:iCs/>
          <w:sz w:val="22"/>
          <w:szCs w:val="22"/>
          <w:lang w:val="it-IT"/>
        </w:rPr>
        <w:t xml:space="preserve">MONALEESA-2, </w:t>
      </w:r>
      <w:r w:rsidRPr="00AE4314">
        <w:rPr>
          <w:i/>
          <w:iCs/>
          <w:sz w:val="22"/>
          <w:szCs w:val="22"/>
          <w:lang w:val="it-IT"/>
        </w:rPr>
        <w:t xml:space="preserve">ribociclib </w:t>
      </w:r>
      <w:r w:rsidR="001C51C2" w:rsidRPr="00AE4314">
        <w:rPr>
          <w:i/>
          <w:iCs/>
          <w:sz w:val="22"/>
          <w:szCs w:val="22"/>
          <w:lang w:val="it-IT"/>
        </w:rPr>
        <w:t>è l’unico</w:t>
      </w:r>
      <w:r w:rsidR="00941422" w:rsidRPr="00AE4314">
        <w:rPr>
          <w:i/>
          <w:iCs/>
          <w:sz w:val="22"/>
          <w:szCs w:val="22"/>
          <w:lang w:val="it-IT"/>
        </w:rPr>
        <w:t xml:space="preserve"> inibitore</w:t>
      </w:r>
      <w:r w:rsidR="001C51C2" w:rsidRPr="00AE4314">
        <w:rPr>
          <w:i/>
          <w:iCs/>
          <w:sz w:val="22"/>
          <w:szCs w:val="22"/>
          <w:lang w:val="it-IT"/>
        </w:rPr>
        <w:t xml:space="preserve"> CDK4/6</w:t>
      </w:r>
      <w:r w:rsidR="00AE4314" w:rsidRPr="00AE4314">
        <w:rPr>
          <w:i/>
          <w:iCs/>
          <w:sz w:val="22"/>
          <w:szCs w:val="22"/>
          <w:lang w:val="it-IT"/>
        </w:rPr>
        <w:t xml:space="preserve"> </w:t>
      </w:r>
      <w:r w:rsidR="0059753E" w:rsidRPr="00AE4314">
        <w:rPr>
          <w:i/>
          <w:iCs/>
          <w:sz w:val="22"/>
          <w:szCs w:val="22"/>
          <w:lang w:val="it-IT"/>
        </w:rPr>
        <w:t>ad aver</w:t>
      </w:r>
      <w:r w:rsidRPr="00AE4314">
        <w:rPr>
          <w:i/>
          <w:iCs/>
          <w:sz w:val="22"/>
          <w:szCs w:val="22"/>
          <w:lang w:val="it-IT"/>
        </w:rPr>
        <w:t xml:space="preserve"> mostrato un beneficio statisticamente significativo di sopravvivenza globale </w:t>
      </w:r>
      <w:r w:rsidR="000F2077" w:rsidRPr="00AE4314">
        <w:rPr>
          <w:i/>
          <w:iCs/>
          <w:sz w:val="22"/>
          <w:szCs w:val="22"/>
          <w:lang w:val="it-IT"/>
        </w:rPr>
        <w:t xml:space="preserve">(OS) </w:t>
      </w:r>
      <w:r w:rsidR="0059753E" w:rsidRPr="00AE4314">
        <w:rPr>
          <w:i/>
          <w:iCs/>
          <w:sz w:val="22"/>
          <w:szCs w:val="22"/>
          <w:lang w:val="it-IT"/>
        </w:rPr>
        <w:t xml:space="preserve">in prima linea (1L) </w:t>
      </w:r>
      <w:r w:rsidRPr="00AE4314">
        <w:rPr>
          <w:i/>
          <w:iCs/>
          <w:sz w:val="22"/>
          <w:szCs w:val="22"/>
          <w:lang w:val="it-IT"/>
        </w:rPr>
        <w:t>con un inibitore d</w:t>
      </w:r>
      <w:r w:rsidR="001C51C2" w:rsidRPr="00AE4314">
        <w:rPr>
          <w:i/>
          <w:iCs/>
          <w:sz w:val="22"/>
          <w:szCs w:val="22"/>
          <w:lang w:val="it-IT"/>
        </w:rPr>
        <w:t>ell’</w:t>
      </w:r>
      <w:r w:rsidRPr="00AE4314">
        <w:rPr>
          <w:i/>
          <w:iCs/>
          <w:sz w:val="22"/>
          <w:szCs w:val="22"/>
          <w:lang w:val="it-IT"/>
        </w:rPr>
        <w:t xml:space="preserve">aromatasi </w:t>
      </w:r>
      <w:r w:rsidR="00F03812" w:rsidRPr="00AE4314">
        <w:rPr>
          <w:i/>
          <w:iCs/>
          <w:sz w:val="22"/>
          <w:szCs w:val="22"/>
          <w:lang w:val="it-IT"/>
        </w:rPr>
        <w:t>nel</w:t>
      </w:r>
      <w:r w:rsidRPr="00AE4314">
        <w:rPr>
          <w:i/>
          <w:iCs/>
          <w:sz w:val="22"/>
          <w:szCs w:val="22"/>
          <w:lang w:val="it-IT"/>
        </w:rPr>
        <w:t>le donne in postmenopausa con tumore della mammella avanzat</w:t>
      </w:r>
      <w:r w:rsidR="00DF0C0D" w:rsidRPr="00AE4314">
        <w:rPr>
          <w:i/>
          <w:iCs/>
          <w:sz w:val="22"/>
          <w:szCs w:val="22"/>
          <w:lang w:val="it-IT"/>
        </w:rPr>
        <w:t>o</w:t>
      </w:r>
      <w:r w:rsidR="001872B9" w:rsidRPr="001872B9">
        <w:rPr>
          <w:i/>
          <w:iCs/>
          <w:sz w:val="22"/>
          <w:szCs w:val="22"/>
          <w:vertAlign w:val="superscript"/>
          <w:lang w:val="it-IT"/>
        </w:rPr>
        <w:t>1,</w:t>
      </w:r>
      <w:r w:rsidR="00DF0C0D" w:rsidRPr="00AE4314">
        <w:rPr>
          <w:i/>
          <w:iCs/>
          <w:sz w:val="22"/>
          <w:szCs w:val="22"/>
          <w:vertAlign w:val="superscript"/>
          <w:lang w:val="it-IT"/>
        </w:rPr>
        <w:t>2</w:t>
      </w:r>
      <w:r w:rsidRPr="00AE4314">
        <w:rPr>
          <w:i/>
          <w:iCs/>
          <w:sz w:val="22"/>
          <w:szCs w:val="22"/>
          <w:lang w:val="it-IT"/>
        </w:rPr>
        <w:t xml:space="preserve"> </w:t>
      </w:r>
    </w:p>
    <w:p w14:paraId="5B5F69AC" w14:textId="0FEBE12E" w:rsidR="007707C8" w:rsidRPr="00AE4314" w:rsidRDefault="00442EEE" w:rsidP="00AC1CDF">
      <w:pPr>
        <w:pStyle w:val="Paragrafoelenco"/>
        <w:ind w:left="360"/>
        <w:jc w:val="both"/>
        <w:rPr>
          <w:rStyle w:val="Rimandocommento"/>
          <w:i/>
          <w:iCs/>
          <w:sz w:val="22"/>
          <w:szCs w:val="22"/>
          <w:lang w:val="it-IT"/>
        </w:rPr>
      </w:pPr>
      <w:r w:rsidRPr="00AE4314">
        <w:rPr>
          <w:rStyle w:val="Rimandocommento"/>
          <w:lang w:val="it-IT"/>
        </w:rPr>
        <w:t xml:space="preserve"> </w:t>
      </w:r>
      <w:r w:rsidRPr="00AE4314" w:rsidDel="00442EEE">
        <w:rPr>
          <w:rStyle w:val="Rimandocommento"/>
          <w:lang w:val="it-IT"/>
        </w:rPr>
        <w:t xml:space="preserve"> </w:t>
      </w:r>
    </w:p>
    <w:p w14:paraId="7665E22B" w14:textId="6F8600C7" w:rsidR="009B378B" w:rsidRPr="00AE4314" w:rsidRDefault="00F03812" w:rsidP="00AC1CDF">
      <w:pPr>
        <w:pStyle w:val="Paragrafoelenco"/>
        <w:numPr>
          <w:ilvl w:val="0"/>
          <w:numId w:val="19"/>
        </w:numPr>
        <w:jc w:val="both"/>
        <w:rPr>
          <w:i/>
          <w:iCs/>
          <w:sz w:val="22"/>
          <w:szCs w:val="22"/>
          <w:lang w:val="it-IT"/>
        </w:rPr>
      </w:pPr>
      <w:r w:rsidRPr="00AE4314">
        <w:rPr>
          <w:i/>
          <w:iCs/>
          <w:sz w:val="22"/>
          <w:szCs w:val="22"/>
          <w:lang w:val="it-IT"/>
        </w:rPr>
        <w:t>La combinazione r</w:t>
      </w:r>
      <w:r w:rsidR="006D0139" w:rsidRPr="00AE4314">
        <w:rPr>
          <w:i/>
          <w:iCs/>
          <w:sz w:val="22"/>
          <w:szCs w:val="22"/>
          <w:lang w:val="it-IT"/>
        </w:rPr>
        <w:t>ibociclib più letrozolo ha raggiunto la sopravvivenza globale mediana di</w:t>
      </w:r>
      <w:r w:rsidR="00442EEE" w:rsidRPr="00AE4314">
        <w:rPr>
          <w:i/>
          <w:iCs/>
          <w:sz w:val="22"/>
          <w:szCs w:val="22"/>
          <w:lang w:val="it-IT"/>
        </w:rPr>
        <w:t xml:space="preserve"> </w:t>
      </w:r>
      <w:r w:rsidR="00DF0C0D" w:rsidRPr="00AE4314">
        <w:rPr>
          <w:i/>
          <w:iCs/>
          <w:sz w:val="22"/>
          <w:szCs w:val="22"/>
          <w:lang w:val="it-IT"/>
        </w:rPr>
        <w:t>63,9</w:t>
      </w:r>
      <w:r w:rsidR="00442EEE" w:rsidRPr="00AE4314">
        <w:rPr>
          <w:i/>
          <w:iCs/>
          <w:sz w:val="22"/>
          <w:szCs w:val="22"/>
          <w:lang w:val="it-IT"/>
        </w:rPr>
        <w:t xml:space="preserve"> m</w:t>
      </w:r>
      <w:r w:rsidR="006D0139" w:rsidRPr="00AE4314">
        <w:rPr>
          <w:i/>
          <w:iCs/>
          <w:sz w:val="22"/>
          <w:szCs w:val="22"/>
          <w:lang w:val="it-IT"/>
        </w:rPr>
        <w:t>esi</w:t>
      </w:r>
      <w:r w:rsidR="0043382B" w:rsidRPr="00AE4314">
        <w:rPr>
          <w:i/>
          <w:iCs/>
          <w:sz w:val="22"/>
          <w:szCs w:val="22"/>
          <w:lang w:val="it-IT"/>
        </w:rPr>
        <w:t xml:space="preserve"> – </w:t>
      </w:r>
      <w:r w:rsidR="006D0139" w:rsidRPr="00AE4314">
        <w:rPr>
          <w:i/>
          <w:iCs/>
          <w:sz w:val="22"/>
          <w:szCs w:val="22"/>
          <w:lang w:val="it-IT"/>
        </w:rPr>
        <w:t>oltre</w:t>
      </w:r>
      <w:r w:rsidR="0043382B" w:rsidRPr="00AE4314">
        <w:rPr>
          <w:i/>
          <w:iCs/>
          <w:sz w:val="22"/>
          <w:szCs w:val="22"/>
          <w:lang w:val="it-IT"/>
        </w:rPr>
        <w:t xml:space="preserve"> </w:t>
      </w:r>
      <w:r w:rsidR="00DF0C0D" w:rsidRPr="00AE4314">
        <w:rPr>
          <w:i/>
          <w:iCs/>
          <w:sz w:val="22"/>
          <w:szCs w:val="22"/>
          <w:lang w:val="it-IT"/>
        </w:rPr>
        <w:t>5</w:t>
      </w:r>
      <w:r w:rsidR="008C1B44" w:rsidRPr="00AE4314">
        <w:rPr>
          <w:i/>
          <w:iCs/>
          <w:sz w:val="22"/>
          <w:szCs w:val="22"/>
          <w:lang w:val="it-IT"/>
        </w:rPr>
        <w:t xml:space="preserve"> </w:t>
      </w:r>
      <w:r w:rsidR="006D0139" w:rsidRPr="00AE4314">
        <w:rPr>
          <w:i/>
          <w:iCs/>
          <w:sz w:val="22"/>
          <w:szCs w:val="22"/>
          <w:lang w:val="it-IT"/>
        </w:rPr>
        <w:t>anni</w:t>
      </w:r>
      <w:r w:rsidR="0043382B" w:rsidRPr="00AE4314">
        <w:rPr>
          <w:i/>
          <w:iCs/>
          <w:sz w:val="22"/>
          <w:szCs w:val="22"/>
          <w:lang w:val="it-IT"/>
        </w:rPr>
        <w:t xml:space="preserve"> </w:t>
      </w:r>
      <w:r w:rsidR="00A77843" w:rsidRPr="00AE4314">
        <w:rPr>
          <w:i/>
          <w:iCs/>
          <w:sz w:val="22"/>
          <w:szCs w:val="22"/>
          <w:lang w:val="it-IT"/>
        </w:rPr>
        <w:t>–</w:t>
      </w:r>
      <w:r w:rsidR="00DF0C0D" w:rsidRPr="00AE4314">
        <w:rPr>
          <w:i/>
          <w:iCs/>
          <w:sz w:val="22"/>
          <w:szCs w:val="22"/>
          <w:lang w:val="it-IT"/>
        </w:rPr>
        <w:t xml:space="preserve"> con</w:t>
      </w:r>
      <w:r w:rsidR="00442EEE" w:rsidRPr="00AE4314">
        <w:rPr>
          <w:i/>
          <w:iCs/>
          <w:sz w:val="22"/>
          <w:szCs w:val="22"/>
          <w:lang w:val="it-IT"/>
        </w:rPr>
        <w:t xml:space="preserve"> </w:t>
      </w:r>
      <w:r w:rsidR="006D0139" w:rsidRPr="00AE4314">
        <w:rPr>
          <w:i/>
          <w:iCs/>
          <w:sz w:val="22"/>
          <w:szCs w:val="22"/>
          <w:lang w:val="it-IT"/>
        </w:rPr>
        <w:t>un beneficio di sopravvi</w:t>
      </w:r>
      <w:r w:rsidR="00771FA9" w:rsidRPr="00AE4314">
        <w:rPr>
          <w:i/>
          <w:iCs/>
          <w:sz w:val="22"/>
          <w:szCs w:val="22"/>
          <w:lang w:val="it-IT"/>
        </w:rPr>
        <w:t>v</w:t>
      </w:r>
      <w:r w:rsidR="006D0139" w:rsidRPr="00AE4314">
        <w:rPr>
          <w:i/>
          <w:iCs/>
          <w:sz w:val="22"/>
          <w:szCs w:val="22"/>
          <w:lang w:val="it-IT"/>
        </w:rPr>
        <w:t>enza globale statisticamente significativo di</w:t>
      </w:r>
      <w:r w:rsidR="00442EEE" w:rsidRPr="00AE4314">
        <w:rPr>
          <w:i/>
          <w:iCs/>
          <w:sz w:val="22"/>
          <w:szCs w:val="22"/>
          <w:lang w:val="it-IT"/>
        </w:rPr>
        <w:t xml:space="preserve"> </w:t>
      </w:r>
      <w:r w:rsidR="00DF0C0D" w:rsidRPr="00AE4314">
        <w:rPr>
          <w:i/>
          <w:iCs/>
          <w:sz w:val="22"/>
          <w:szCs w:val="22"/>
          <w:lang w:val="it-IT"/>
        </w:rPr>
        <w:t>12</w:t>
      </w:r>
      <w:r w:rsidR="00AE4314" w:rsidRPr="00AE4314">
        <w:rPr>
          <w:i/>
          <w:iCs/>
          <w:sz w:val="22"/>
          <w:szCs w:val="22"/>
          <w:lang w:val="it-IT"/>
        </w:rPr>
        <w:t xml:space="preserve"> </w:t>
      </w:r>
      <w:r w:rsidR="00442EEE" w:rsidRPr="00AE4314">
        <w:rPr>
          <w:i/>
          <w:iCs/>
          <w:sz w:val="22"/>
          <w:szCs w:val="22"/>
          <w:lang w:val="it-IT"/>
        </w:rPr>
        <w:t>m</w:t>
      </w:r>
      <w:r w:rsidR="006D0139" w:rsidRPr="00AE4314">
        <w:rPr>
          <w:i/>
          <w:iCs/>
          <w:sz w:val="22"/>
          <w:szCs w:val="22"/>
          <w:lang w:val="it-IT"/>
        </w:rPr>
        <w:t>esi</w:t>
      </w:r>
      <w:r w:rsidR="00442EEE" w:rsidRPr="00AE4314">
        <w:rPr>
          <w:i/>
          <w:iCs/>
          <w:sz w:val="22"/>
          <w:szCs w:val="22"/>
          <w:lang w:val="it-IT"/>
        </w:rPr>
        <w:t xml:space="preserve"> </w:t>
      </w:r>
      <w:r w:rsidR="009B378B" w:rsidRPr="00AE4314">
        <w:rPr>
          <w:i/>
          <w:iCs/>
          <w:sz w:val="22"/>
          <w:szCs w:val="22"/>
          <w:lang w:val="it-IT"/>
        </w:rPr>
        <w:t xml:space="preserve">vs. </w:t>
      </w:r>
      <w:r w:rsidR="00751791" w:rsidRPr="00AE4314">
        <w:rPr>
          <w:i/>
          <w:iCs/>
          <w:sz w:val="22"/>
          <w:szCs w:val="22"/>
          <w:lang w:val="it-IT"/>
        </w:rPr>
        <w:t xml:space="preserve">placebo </w:t>
      </w:r>
      <w:r w:rsidR="006D0139" w:rsidRPr="00AE4314">
        <w:rPr>
          <w:i/>
          <w:iCs/>
          <w:sz w:val="22"/>
          <w:szCs w:val="22"/>
          <w:lang w:val="it-IT"/>
        </w:rPr>
        <w:t>più</w:t>
      </w:r>
      <w:r w:rsidR="00751791" w:rsidRPr="00AE4314">
        <w:rPr>
          <w:i/>
          <w:iCs/>
          <w:sz w:val="22"/>
          <w:szCs w:val="22"/>
          <w:lang w:val="it-IT"/>
        </w:rPr>
        <w:t xml:space="preserve"> </w:t>
      </w:r>
      <w:r w:rsidR="009B378B" w:rsidRPr="00AE4314">
        <w:rPr>
          <w:i/>
          <w:iCs/>
          <w:sz w:val="22"/>
          <w:szCs w:val="22"/>
          <w:lang w:val="it-IT"/>
        </w:rPr>
        <w:t>letrozol</w:t>
      </w:r>
      <w:r w:rsidR="006D0139" w:rsidRPr="00AE4314">
        <w:rPr>
          <w:i/>
          <w:iCs/>
          <w:sz w:val="22"/>
          <w:szCs w:val="22"/>
          <w:lang w:val="it-IT"/>
        </w:rPr>
        <w:t>o</w:t>
      </w:r>
      <w:r w:rsidR="00EA092B" w:rsidRPr="00AE4314">
        <w:rPr>
          <w:i/>
          <w:iCs/>
          <w:sz w:val="22"/>
          <w:szCs w:val="22"/>
          <w:lang w:val="it-IT"/>
        </w:rPr>
        <w:t xml:space="preserve"> </w:t>
      </w:r>
      <w:r w:rsidR="006D0139" w:rsidRPr="00AE4314">
        <w:rPr>
          <w:i/>
          <w:iCs/>
          <w:sz w:val="22"/>
          <w:szCs w:val="22"/>
          <w:lang w:val="it-IT"/>
        </w:rPr>
        <w:t>nelle donne in postmenopausa</w:t>
      </w:r>
      <w:r w:rsidR="00EA092B" w:rsidRPr="00AE4314">
        <w:rPr>
          <w:i/>
          <w:iCs/>
          <w:sz w:val="22"/>
          <w:szCs w:val="22"/>
          <w:lang w:val="it-IT"/>
        </w:rPr>
        <w:t xml:space="preserve"> (HR=</w:t>
      </w:r>
      <w:r w:rsidR="00DF0C0D" w:rsidRPr="00AE4314">
        <w:rPr>
          <w:i/>
          <w:iCs/>
          <w:sz w:val="22"/>
          <w:szCs w:val="22"/>
          <w:lang w:val="it-IT"/>
        </w:rPr>
        <w:t>0.76</w:t>
      </w:r>
      <w:r w:rsidR="00EA092B" w:rsidRPr="00AE4314">
        <w:rPr>
          <w:i/>
          <w:iCs/>
          <w:sz w:val="22"/>
          <w:szCs w:val="22"/>
          <w:lang w:val="it-IT"/>
        </w:rPr>
        <w:t>; p=</w:t>
      </w:r>
      <w:r w:rsidR="00DF0C0D" w:rsidRPr="00AE4314">
        <w:rPr>
          <w:i/>
          <w:iCs/>
          <w:sz w:val="22"/>
          <w:szCs w:val="22"/>
          <w:lang w:val="it-IT"/>
        </w:rPr>
        <w:t>0.004</w:t>
      </w:r>
      <w:r w:rsidR="00751791" w:rsidRPr="00AE4314">
        <w:rPr>
          <w:i/>
          <w:iCs/>
          <w:sz w:val="22"/>
          <w:szCs w:val="22"/>
          <w:lang w:val="it-IT"/>
        </w:rPr>
        <w:t>)</w:t>
      </w:r>
      <w:r w:rsidR="00DF0C0D" w:rsidRPr="00AE4314">
        <w:rPr>
          <w:i/>
          <w:iCs/>
          <w:sz w:val="22"/>
          <w:szCs w:val="22"/>
          <w:vertAlign w:val="superscript"/>
          <w:lang w:val="it-IT"/>
        </w:rPr>
        <w:t>2</w:t>
      </w:r>
    </w:p>
    <w:p w14:paraId="3DA28109" w14:textId="77777777" w:rsidR="009B378B" w:rsidRPr="00AE4314" w:rsidRDefault="009B378B" w:rsidP="00AC1CDF">
      <w:pPr>
        <w:pStyle w:val="Paragrafoelenco"/>
        <w:ind w:left="360"/>
        <w:jc w:val="both"/>
        <w:rPr>
          <w:i/>
          <w:iCs/>
          <w:sz w:val="22"/>
          <w:szCs w:val="22"/>
          <w:lang w:val="it-IT"/>
        </w:rPr>
      </w:pPr>
    </w:p>
    <w:p w14:paraId="1E3D0206" w14:textId="1660D4CB" w:rsidR="007707C8" w:rsidRPr="00AE4314" w:rsidRDefault="006D0139" w:rsidP="00AC1CDF">
      <w:pPr>
        <w:pStyle w:val="Paragrafoelenco"/>
        <w:numPr>
          <w:ilvl w:val="0"/>
          <w:numId w:val="19"/>
        </w:numPr>
        <w:jc w:val="both"/>
        <w:rPr>
          <w:i/>
          <w:iCs/>
          <w:sz w:val="22"/>
          <w:szCs w:val="22"/>
          <w:lang w:val="it-IT"/>
        </w:rPr>
      </w:pPr>
      <w:r w:rsidRPr="00AE4314">
        <w:rPr>
          <w:i/>
          <w:iCs/>
          <w:sz w:val="22"/>
          <w:szCs w:val="22"/>
          <w:lang w:val="it-IT"/>
        </w:rPr>
        <w:t xml:space="preserve">Ribociclib è l’unico inibitore di </w:t>
      </w:r>
      <w:r w:rsidR="007707C8" w:rsidRPr="00AE4314">
        <w:rPr>
          <w:i/>
          <w:iCs/>
          <w:sz w:val="22"/>
          <w:szCs w:val="22"/>
          <w:lang w:val="it-IT"/>
        </w:rPr>
        <w:t xml:space="preserve">CDK4/6 </w:t>
      </w:r>
      <w:r w:rsidRPr="00AE4314">
        <w:rPr>
          <w:i/>
          <w:iCs/>
          <w:sz w:val="22"/>
          <w:szCs w:val="22"/>
          <w:lang w:val="it-IT"/>
        </w:rPr>
        <w:t xml:space="preserve">ad aver dimostrato beneficio di sopravvivenza globale in tutti e tre gli studi di Fase </w:t>
      </w:r>
      <w:r w:rsidR="007707C8" w:rsidRPr="00AE4314">
        <w:rPr>
          <w:i/>
          <w:iCs/>
          <w:sz w:val="22"/>
          <w:szCs w:val="22"/>
          <w:lang w:val="it-IT"/>
        </w:rPr>
        <w:t xml:space="preserve">III </w:t>
      </w:r>
      <w:r w:rsidR="00E90BB1" w:rsidRPr="00AE4314">
        <w:rPr>
          <w:i/>
          <w:iCs/>
          <w:sz w:val="22"/>
          <w:szCs w:val="22"/>
          <w:lang w:val="it-IT"/>
        </w:rPr>
        <w:t>con m</w:t>
      </w:r>
      <w:r w:rsidR="007C1B09" w:rsidRPr="00AE4314">
        <w:rPr>
          <w:i/>
          <w:iCs/>
          <w:sz w:val="22"/>
          <w:szCs w:val="22"/>
          <w:lang w:val="it-IT"/>
        </w:rPr>
        <w:t>o</w:t>
      </w:r>
      <w:r w:rsidR="00E90BB1" w:rsidRPr="00AE4314">
        <w:rPr>
          <w:i/>
          <w:iCs/>
          <w:sz w:val="22"/>
          <w:szCs w:val="22"/>
          <w:lang w:val="it-IT"/>
        </w:rPr>
        <w:t>lteplici combinazioni terepeutiche</w:t>
      </w:r>
      <w:r w:rsidR="007707C8" w:rsidRPr="00AE4314">
        <w:rPr>
          <w:i/>
          <w:iCs/>
          <w:sz w:val="22"/>
          <w:szCs w:val="22"/>
          <w:lang w:val="it-IT"/>
        </w:rPr>
        <w:t xml:space="preserve">, </w:t>
      </w:r>
      <w:r w:rsidR="00E90BB1" w:rsidRPr="00AE4314">
        <w:rPr>
          <w:i/>
          <w:iCs/>
          <w:sz w:val="22"/>
          <w:szCs w:val="22"/>
          <w:lang w:val="it-IT"/>
        </w:rPr>
        <w:t>indipendentemente dalla condizione di menopausa o dalla linea di terapi</w:t>
      </w:r>
      <w:r w:rsidR="00DF0C0D" w:rsidRPr="00AE4314">
        <w:rPr>
          <w:i/>
          <w:iCs/>
          <w:sz w:val="22"/>
          <w:szCs w:val="22"/>
          <w:lang w:val="it-IT"/>
        </w:rPr>
        <w:t>a</w:t>
      </w:r>
      <w:r w:rsidR="00DF0C0D" w:rsidRPr="00AE4314">
        <w:rPr>
          <w:i/>
          <w:iCs/>
          <w:sz w:val="22"/>
          <w:szCs w:val="22"/>
          <w:vertAlign w:val="superscript"/>
          <w:lang w:val="it-IT"/>
        </w:rPr>
        <w:t>2-4</w:t>
      </w:r>
      <w:r w:rsidR="007707C8" w:rsidRPr="00AE4314">
        <w:rPr>
          <w:i/>
          <w:iCs/>
          <w:sz w:val="22"/>
          <w:szCs w:val="22"/>
          <w:lang w:val="it-IT"/>
        </w:rPr>
        <w:t xml:space="preserve"> </w:t>
      </w:r>
    </w:p>
    <w:p w14:paraId="25836C29" w14:textId="77777777" w:rsidR="009B378B" w:rsidRPr="00AE4314" w:rsidRDefault="009B378B" w:rsidP="00AC1CDF">
      <w:pPr>
        <w:pStyle w:val="Paragrafoelenco"/>
        <w:jc w:val="both"/>
        <w:rPr>
          <w:i/>
          <w:iCs/>
          <w:sz w:val="22"/>
          <w:szCs w:val="22"/>
          <w:lang w:val="it-IT"/>
        </w:rPr>
      </w:pPr>
    </w:p>
    <w:p w14:paraId="3DD91B6A" w14:textId="4717B2C3" w:rsidR="000C5811" w:rsidRPr="00AE4314" w:rsidRDefault="00E90BB1" w:rsidP="00AC1CDF">
      <w:pPr>
        <w:pStyle w:val="Paragrafoelenco"/>
        <w:numPr>
          <w:ilvl w:val="0"/>
          <w:numId w:val="19"/>
        </w:numPr>
        <w:jc w:val="both"/>
        <w:rPr>
          <w:i/>
          <w:iCs/>
          <w:sz w:val="22"/>
          <w:szCs w:val="22"/>
          <w:lang w:val="it-IT"/>
        </w:rPr>
      </w:pPr>
      <w:r w:rsidRPr="00AE4314">
        <w:rPr>
          <w:i/>
          <w:iCs/>
          <w:sz w:val="22"/>
          <w:szCs w:val="22"/>
          <w:lang w:val="it-IT"/>
        </w:rPr>
        <w:t>I dati di sopravvivenza globale d</w:t>
      </w:r>
      <w:r w:rsidR="00CE42EA" w:rsidRPr="00AE4314">
        <w:rPr>
          <w:i/>
          <w:iCs/>
          <w:sz w:val="22"/>
          <w:szCs w:val="22"/>
          <w:lang w:val="it-IT"/>
        </w:rPr>
        <w:t>ello studio</w:t>
      </w:r>
      <w:r w:rsidRPr="00AE4314">
        <w:rPr>
          <w:i/>
          <w:iCs/>
          <w:sz w:val="22"/>
          <w:szCs w:val="22"/>
          <w:lang w:val="it-IT"/>
        </w:rPr>
        <w:t xml:space="preserve"> </w:t>
      </w:r>
      <w:r w:rsidR="00787613" w:rsidRPr="00AE4314">
        <w:rPr>
          <w:i/>
          <w:iCs/>
          <w:sz w:val="22"/>
          <w:szCs w:val="22"/>
          <w:lang w:val="it-IT"/>
        </w:rPr>
        <w:t>MONALEESA-2</w:t>
      </w:r>
      <w:r w:rsidR="0085737B" w:rsidRPr="00AE4314">
        <w:rPr>
          <w:i/>
          <w:iCs/>
          <w:sz w:val="22"/>
          <w:szCs w:val="22"/>
          <w:lang w:val="it-IT"/>
        </w:rPr>
        <w:t xml:space="preserve"> </w:t>
      </w:r>
      <w:r w:rsidRPr="00AE4314">
        <w:rPr>
          <w:i/>
          <w:iCs/>
          <w:sz w:val="22"/>
          <w:szCs w:val="22"/>
          <w:lang w:val="it-IT"/>
        </w:rPr>
        <w:t xml:space="preserve">saranno presentati al Congresso </w:t>
      </w:r>
      <w:r w:rsidR="00787613" w:rsidRPr="00AE4314">
        <w:rPr>
          <w:i/>
          <w:iCs/>
          <w:sz w:val="22"/>
          <w:szCs w:val="22"/>
          <w:lang w:val="it-IT"/>
        </w:rPr>
        <w:t>ESMO 2021</w:t>
      </w:r>
    </w:p>
    <w:p w14:paraId="4CFD8607" w14:textId="77777777" w:rsidR="00787613" w:rsidRPr="00AE4314" w:rsidRDefault="006D2CDD" w:rsidP="006D2CDD">
      <w:pPr>
        <w:tabs>
          <w:tab w:val="left" w:pos="2040"/>
        </w:tabs>
        <w:rPr>
          <w:i/>
          <w:iCs/>
          <w:sz w:val="22"/>
          <w:szCs w:val="22"/>
          <w:lang w:val="it-IT"/>
        </w:rPr>
      </w:pPr>
      <w:r w:rsidRPr="00AE4314">
        <w:rPr>
          <w:i/>
          <w:iCs/>
          <w:sz w:val="22"/>
          <w:szCs w:val="22"/>
          <w:lang w:val="it-IT"/>
        </w:rPr>
        <w:tab/>
      </w:r>
    </w:p>
    <w:p w14:paraId="350B9030" w14:textId="76872663" w:rsidR="00C55583" w:rsidRPr="00FB77EB" w:rsidRDefault="00F31088" w:rsidP="00F7268A">
      <w:pPr>
        <w:jc w:val="both"/>
        <w:rPr>
          <w:lang w:val="it-IT"/>
        </w:rPr>
      </w:pPr>
      <w:r w:rsidRPr="00AE4314">
        <w:rPr>
          <w:b/>
          <w:lang w:val="it-IT"/>
        </w:rPr>
        <w:t>Bas</w:t>
      </w:r>
      <w:r w:rsidR="008A5C41" w:rsidRPr="00AE4314">
        <w:rPr>
          <w:b/>
          <w:lang w:val="it-IT"/>
        </w:rPr>
        <w:t>il</w:t>
      </w:r>
      <w:r w:rsidRPr="00AE4314">
        <w:rPr>
          <w:b/>
          <w:lang w:val="it-IT"/>
        </w:rPr>
        <w:t>e</w:t>
      </w:r>
      <w:r w:rsidR="008A5C41" w:rsidRPr="00AE4314">
        <w:rPr>
          <w:b/>
          <w:lang w:val="it-IT"/>
        </w:rPr>
        <w:t>a</w:t>
      </w:r>
      <w:r w:rsidR="000C5811" w:rsidRPr="00AE4314">
        <w:rPr>
          <w:b/>
          <w:lang w:val="it-IT"/>
        </w:rPr>
        <w:t xml:space="preserve">, </w:t>
      </w:r>
      <w:r w:rsidR="00DF0C0D" w:rsidRPr="00AE4314">
        <w:rPr>
          <w:b/>
          <w:lang w:val="it-IT"/>
        </w:rPr>
        <w:t>19</w:t>
      </w:r>
      <w:r w:rsidR="008A5C41" w:rsidRPr="00AE4314">
        <w:rPr>
          <w:b/>
          <w:lang w:val="it-IT"/>
        </w:rPr>
        <w:t xml:space="preserve"> </w:t>
      </w:r>
      <w:r w:rsidR="00F7268A" w:rsidRPr="00AE4314">
        <w:rPr>
          <w:b/>
          <w:lang w:val="it-IT"/>
        </w:rPr>
        <w:t>s</w:t>
      </w:r>
      <w:r w:rsidR="008A5C41" w:rsidRPr="00AE4314">
        <w:rPr>
          <w:b/>
          <w:lang w:val="it-IT"/>
        </w:rPr>
        <w:t>ettembre</w:t>
      </w:r>
      <w:r w:rsidR="000C5811" w:rsidRPr="00AE4314">
        <w:rPr>
          <w:b/>
          <w:lang w:val="it-IT"/>
        </w:rPr>
        <w:t xml:space="preserve"> 2021</w:t>
      </w:r>
      <w:r w:rsidRPr="00AE4314">
        <w:rPr>
          <w:lang w:val="it-IT"/>
        </w:rPr>
        <w:t xml:space="preserve"> —</w:t>
      </w:r>
      <w:r w:rsidR="008A5C41" w:rsidRPr="00AE4314">
        <w:rPr>
          <w:lang w:val="it-IT"/>
        </w:rPr>
        <w:t xml:space="preserve"> </w:t>
      </w:r>
      <w:r w:rsidR="0008533B" w:rsidRPr="00AE4314">
        <w:rPr>
          <w:lang w:val="it-IT"/>
        </w:rPr>
        <w:t xml:space="preserve">È la più lunga sopravvivanza finora raggiunta nel carcinoma della mammella avanzato e </w:t>
      </w:r>
      <w:r w:rsidR="00CE42EA" w:rsidRPr="00AE4314">
        <w:rPr>
          <w:lang w:val="it-IT"/>
        </w:rPr>
        <w:t xml:space="preserve">ciò ci </w:t>
      </w:r>
      <w:r w:rsidR="0008533B" w:rsidRPr="00AE4314">
        <w:rPr>
          <w:lang w:val="it-IT"/>
        </w:rPr>
        <w:t>consente di parlare di vera e propria cronicizzazione della malattia. Lo dimostrano</w:t>
      </w:r>
      <w:r w:rsidR="008A5C41" w:rsidRPr="00AE4314">
        <w:rPr>
          <w:lang w:val="it-IT"/>
        </w:rPr>
        <w:t xml:space="preserve"> </w:t>
      </w:r>
      <w:r w:rsidR="00FF168B" w:rsidRPr="00AE4314">
        <w:rPr>
          <w:lang w:val="it-IT"/>
        </w:rPr>
        <w:t>i</w:t>
      </w:r>
      <w:r w:rsidR="008A5C41" w:rsidRPr="00AE4314">
        <w:rPr>
          <w:lang w:val="it-IT"/>
        </w:rPr>
        <w:t xml:space="preserve"> risultati dell’analisi finale di sopravvivenza globale </w:t>
      </w:r>
      <w:r w:rsidR="00151C07" w:rsidRPr="00AE4314">
        <w:rPr>
          <w:lang w:val="it-IT"/>
        </w:rPr>
        <w:t xml:space="preserve">(OS) </w:t>
      </w:r>
      <w:r w:rsidR="008A5C41" w:rsidRPr="00AE4314">
        <w:rPr>
          <w:lang w:val="it-IT"/>
        </w:rPr>
        <w:t xml:space="preserve">dello studio di Fase </w:t>
      </w:r>
      <w:r w:rsidR="00B313C3" w:rsidRPr="00AE4314">
        <w:rPr>
          <w:lang w:val="it-IT"/>
        </w:rPr>
        <w:t xml:space="preserve">III MONALEESA-2, </w:t>
      </w:r>
      <w:r w:rsidR="008A5C41" w:rsidRPr="00AE4314">
        <w:rPr>
          <w:lang w:val="it-IT"/>
        </w:rPr>
        <w:t>che ha valutato ribociclib</w:t>
      </w:r>
      <w:r w:rsidR="00C32423" w:rsidRPr="00AE4314">
        <w:rPr>
          <w:lang w:val="it-IT"/>
        </w:rPr>
        <w:t xml:space="preserve"> </w:t>
      </w:r>
      <w:r w:rsidR="00125B80" w:rsidRPr="00AE4314">
        <w:rPr>
          <w:lang w:val="it-IT"/>
        </w:rPr>
        <w:t xml:space="preserve">in </w:t>
      </w:r>
      <w:r w:rsidR="3C09BF48" w:rsidRPr="00AE4314">
        <w:rPr>
          <w:lang w:val="it-IT"/>
        </w:rPr>
        <w:t>combina</w:t>
      </w:r>
      <w:r w:rsidR="008A5C41" w:rsidRPr="00AE4314">
        <w:rPr>
          <w:lang w:val="it-IT"/>
        </w:rPr>
        <w:t>z</w:t>
      </w:r>
      <w:r w:rsidR="3C09BF48" w:rsidRPr="00AE4314">
        <w:rPr>
          <w:lang w:val="it-IT"/>
        </w:rPr>
        <w:t>ion</w:t>
      </w:r>
      <w:r w:rsidR="008A5C41" w:rsidRPr="00AE4314">
        <w:rPr>
          <w:lang w:val="it-IT"/>
        </w:rPr>
        <w:t xml:space="preserve">e con </w:t>
      </w:r>
      <w:r w:rsidR="3C09BF48" w:rsidRPr="00AE4314">
        <w:rPr>
          <w:lang w:val="it-IT"/>
        </w:rPr>
        <w:t>letrozol</w:t>
      </w:r>
      <w:r w:rsidR="008A5C41" w:rsidRPr="00AE4314">
        <w:rPr>
          <w:lang w:val="it-IT"/>
        </w:rPr>
        <w:t>o</w:t>
      </w:r>
      <w:r w:rsidR="00A01B93" w:rsidRPr="00AE4314">
        <w:rPr>
          <w:lang w:val="it-IT"/>
        </w:rPr>
        <w:t xml:space="preserve"> </w:t>
      </w:r>
      <w:r w:rsidR="008A5C41" w:rsidRPr="00AE4314">
        <w:rPr>
          <w:lang w:val="it-IT"/>
        </w:rPr>
        <w:t xml:space="preserve">rispetto a </w:t>
      </w:r>
      <w:r w:rsidR="00CF3115" w:rsidRPr="00AE4314">
        <w:rPr>
          <w:lang w:val="it-IT"/>
        </w:rPr>
        <w:t xml:space="preserve">placebo </w:t>
      </w:r>
      <w:r w:rsidR="008A5C41" w:rsidRPr="00AE4314">
        <w:rPr>
          <w:lang w:val="it-IT"/>
        </w:rPr>
        <w:t>più</w:t>
      </w:r>
      <w:r w:rsidR="00CF3115" w:rsidRPr="00AE4314">
        <w:rPr>
          <w:lang w:val="it-IT"/>
        </w:rPr>
        <w:t xml:space="preserve"> </w:t>
      </w:r>
      <w:r w:rsidR="00A01B93" w:rsidRPr="00AE4314">
        <w:rPr>
          <w:lang w:val="it-IT"/>
        </w:rPr>
        <w:t>letrozol</w:t>
      </w:r>
      <w:r w:rsidR="008A5C41" w:rsidRPr="00AE4314">
        <w:rPr>
          <w:lang w:val="it-IT"/>
        </w:rPr>
        <w:t>o nelle donne in postmenopausa</w:t>
      </w:r>
      <w:r w:rsidR="008A5C41" w:rsidRPr="00FB77EB">
        <w:rPr>
          <w:lang w:val="it-IT"/>
        </w:rPr>
        <w:t xml:space="preserve"> con tumore della mammella avanzato o metastatico positivo per i recettori ormonali e negativo per il recettore 2 del fattore umano di crescita epidermica (HR+/HER2-)</w:t>
      </w:r>
      <w:r w:rsidR="00A01B93" w:rsidRPr="00FB77EB">
        <w:rPr>
          <w:lang w:val="it-IT"/>
        </w:rPr>
        <w:t xml:space="preserve"> </w:t>
      </w:r>
      <w:r w:rsidR="008A5C41" w:rsidRPr="00FB77EB">
        <w:rPr>
          <w:lang w:val="it-IT"/>
        </w:rPr>
        <w:t xml:space="preserve">senza </w:t>
      </w:r>
      <w:r w:rsidR="00FF168B" w:rsidRPr="00FB77EB">
        <w:rPr>
          <w:lang w:val="it-IT"/>
        </w:rPr>
        <w:t>precedent</w:t>
      </w:r>
      <w:r w:rsidR="008A5EFE" w:rsidRPr="00FB77EB">
        <w:rPr>
          <w:lang w:val="it-IT"/>
        </w:rPr>
        <w:t>i</w:t>
      </w:r>
      <w:r w:rsidR="00FF168B" w:rsidRPr="00FB77EB">
        <w:rPr>
          <w:lang w:val="it-IT"/>
        </w:rPr>
        <w:t xml:space="preserve"> </w:t>
      </w:r>
      <w:r w:rsidR="008A5C41" w:rsidRPr="00FB77EB">
        <w:rPr>
          <w:lang w:val="it-IT"/>
        </w:rPr>
        <w:t xml:space="preserve">trattamenti sistemici </w:t>
      </w:r>
      <w:r w:rsidR="00CE42EA">
        <w:rPr>
          <w:lang w:val="it-IT"/>
        </w:rPr>
        <w:t>nel setting</w:t>
      </w:r>
      <w:r w:rsidR="008A5C41" w:rsidRPr="00FB77EB">
        <w:rPr>
          <w:lang w:val="it-IT"/>
        </w:rPr>
        <w:t xml:space="preserve"> avanzat</w:t>
      </w:r>
      <w:r w:rsidR="00CE42EA">
        <w:rPr>
          <w:lang w:val="it-IT"/>
        </w:rPr>
        <w:t>o</w:t>
      </w:r>
      <w:r w:rsidR="00A01B93" w:rsidRPr="00FB77EB">
        <w:rPr>
          <w:lang w:val="it-IT"/>
        </w:rPr>
        <w:t>.</w:t>
      </w:r>
      <w:r w:rsidR="1C809ED8" w:rsidRPr="00FB77EB">
        <w:rPr>
          <w:lang w:val="it-IT"/>
        </w:rPr>
        <w:t xml:space="preserve"> </w:t>
      </w:r>
      <w:r w:rsidR="008A5C41" w:rsidRPr="00FB77EB">
        <w:rPr>
          <w:lang w:val="it-IT"/>
        </w:rPr>
        <w:t xml:space="preserve">I dati saranno </w:t>
      </w:r>
      <w:r w:rsidR="008A5EFE" w:rsidRPr="00FB77EB">
        <w:rPr>
          <w:lang w:val="it-IT"/>
        </w:rPr>
        <w:t>illustrati</w:t>
      </w:r>
      <w:r w:rsidR="005D4734" w:rsidRPr="00FB77EB">
        <w:rPr>
          <w:lang w:val="it-IT"/>
        </w:rPr>
        <w:t xml:space="preserve"> </w:t>
      </w:r>
      <w:r w:rsidR="008A5C41" w:rsidRPr="00FB77EB">
        <w:rPr>
          <w:lang w:val="it-IT"/>
        </w:rPr>
        <w:t xml:space="preserve">con una presentazione orale </w:t>
      </w:r>
      <w:r w:rsidR="009B378B" w:rsidRPr="00FB77EB">
        <w:rPr>
          <w:lang w:val="it-IT"/>
        </w:rPr>
        <w:t>late-breaker a</w:t>
      </w:r>
      <w:r w:rsidR="005D4734" w:rsidRPr="00FB77EB">
        <w:rPr>
          <w:lang w:val="it-IT"/>
        </w:rPr>
        <w:t>l Congresso 2021 della Società Europea di Oncologia Medica (</w:t>
      </w:r>
      <w:r w:rsidR="009B378B" w:rsidRPr="00FB77EB">
        <w:rPr>
          <w:lang w:val="it-IT"/>
        </w:rPr>
        <w:t>ESMO)</w:t>
      </w:r>
      <w:r w:rsidR="00DF0C0D">
        <w:rPr>
          <w:lang w:val="it-IT"/>
        </w:rPr>
        <w:t xml:space="preserve"> il 19 settembre (#LBA17)</w:t>
      </w:r>
      <w:r w:rsidR="009B378B" w:rsidRPr="00FB77EB">
        <w:rPr>
          <w:lang w:val="it-IT"/>
        </w:rPr>
        <w:t>.</w:t>
      </w:r>
    </w:p>
    <w:p w14:paraId="17A74C85" w14:textId="77777777" w:rsidR="00C55583" w:rsidRPr="00FB77EB" w:rsidRDefault="00C55583" w:rsidP="00F7268A">
      <w:pPr>
        <w:jc w:val="both"/>
        <w:rPr>
          <w:lang w:val="it-IT"/>
        </w:rPr>
      </w:pPr>
    </w:p>
    <w:p w14:paraId="082F3DF2" w14:textId="32A4DDC3" w:rsidR="00AD3333" w:rsidRPr="00FB77EB" w:rsidRDefault="005D4734" w:rsidP="00F7268A">
      <w:pPr>
        <w:jc w:val="both"/>
        <w:rPr>
          <w:lang w:val="it-IT"/>
        </w:rPr>
      </w:pPr>
      <w:r w:rsidRPr="00FB77EB">
        <w:rPr>
          <w:lang w:val="it-IT"/>
        </w:rPr>
        <w:t xml:space="preserve">Ribociclib in combinazione con </w:t>
      </w:r>
      <w:r w:rsidR="00AD3333" w:rsidRPr="00FB77EB">
        <w:rPr>
          <w:lang w:val="it-IT"/>
        </w:rPr>
        <w:t>letrozol</w:t>
      </w:r>
      <w:r w:rsidRPr="00FB77EB">
        <w:rPr>
          <w:lang w:val="it-IT"/>
        </w:rPr>
        <w:t>o ha soddisfatto l’endpoint secondario di sopravvivenza globale</w:t>
      </w:r>
      <w:r w:rsidR="00AD3333" w:rsidRPr="00FB77EB">
        <w:rPr>
          <w:lang w:val="it-IT"/>
        </w:rPr>
        <w:t xml:space="preserve">, </w:t>
      </w:r>
      <w:r w:rsidRPr="00FB77EB">
        <w:rPr>
          <w:lang w:val="it-IT"/>
        </w:rPr>
        <w:t xml:space="preserve">dimostrando un miglioramento statisticamente </w:t>
      </w:r>
      <w:r w:rsidRPr="00AE4314">
        <w:rPr>
          <w:lang w:val="it-IT"/>
        </w:rPr>
        <w:t xml:space="preserve">significativo e clinicamente rilevante </w:t>
      </w:r>
      <w:r w:rsidR="0005103C" w:rsidRPr="00AE4314">
        <w:rPr>
          <w:lang w:val="it-IT"/>
        </w:rPr>
        <w:t xml:space="preserve">nella sopravvivenza </w:t>
      </w:r>
      <w:r w:rsidR="00AD3333" w:rsidRPr="00AE4314">
        <w:rPr>
          <w:lang w:val="it-IT"/>
        </w:rPr>
        <w:t>(median</w:t>
      </w:r>
      <w:r w:rsidR="00FF168B" w:rsidRPr="00AE4314">
        <w:rPr>
          <w:lang w:val="it-IT"/>
        </w:rPr>
        <w:t>o</w:t>
      </w:r>
      <w:r w:rsidR="00AD3333" w:rsidRPr="00AE4314">
        <w:rPr>
          <w:lang w:val="it-IT"/>
        </w:rPr>
        <w:t xml:space="preserve"> </w:t>
      </w:r>
      <w:r w:rsidR="0005103C" w:rsidRPr="00AE4314">
        <w:rPr>
          <w:lang w:val="it-IT"/>
        </w:rPr>
        <w:t>63.9</w:t>
      </w:r>
      <w:r w:rsidR="00AD3333" w:rsidRPr="00AE4314">
        <w:rPr>
          <w:color w:val="FF0000"/>
          <w:lang w:val="it-IT"/>
        </w:rPr>
        <w:t xml:space="preserve"> </w:t>
      </w:r>
      <w:r w:rsidR="00AD3333" w:rsidRPr="00AE4314">
        <w:rPr>
          <w:lang w:val="it-IT"/>
        </w:rPr>
        <w:t>vs.</w:t>
      </w:r>
      <w:r w:rsidR="0005103C" w:rsidRPr="00AE4314">
        <w:rPr>
          <w:lang w:val="it-IT"/>
        </w:rPr>
        <w:t>51.4</w:t>
      </w:r>
      <w:r w:rsidR="00AD3333" w:rsidRPr="00AE4314">
        <w:rPr>
          <w:color w:val="FF0000"/>
          <w:lang w:val="it-IT"/>
        </w:rPr>
        <w:t xml:space="preserve"> </w:t>
      </w:r>
      <w:r w:rsidR="00AD3333" w:rsidRPr="00AE4314">
        <w:rPr>
          <w:lang w:val="it-IT"/>
        </w:rPr>
        <w:t>m</w:t>
      </w:r>
      <w:r w:rsidR="00771FA9" w:rsidRPr="00AE4314">
        <w:rPr>
          <w:lang w:val="it-IT"/>
        </w:rPr>
        <w:t>esi</w:t>
      </w:r>
      <w:r w:rsidR="00AD3333" w:rsidRPr="00AE4314">
        <w:rPr>
          <w:lang w:val="it-IT"/>
        </w:rPr>
        <w:t xml:space="preserve">; </w:t>
      </w:r>
      <w:r w:rsidR="00EA092B" w:rsidRPr="00AE4314">
        <w:rPr>
          <w:lang w:val="it-IT"/>
        </w:rPr>
        <w:t>HR=</w:t>
      </w:r>
      <w:r w:rsidR="0005103C" w:rsidRPr="00AE4314">
        <w:rPr>
          <w:lang w:val="it-IT"/>
        </w:rPr>
        <w:t>0.76</w:t>
      </w:r>
      <w:r w:rsidR="000F22B4" w:rsidRPr="00AE4314">
        <w:rPr>
          <w:lang w:val="it-IT"/>
        </w:rPr>
        <w:t xml:space="preserve">; </w:t>
      </w:r>
      <w:r w:rsidR="00AD3333" w:rsidRPr="00AE4314">
        <w:rPr>
          <w:lang w:val="it-IT"/>
        </w:rPr>
        <w:t xml:space="preserve">95% CI: </w:t>
      </w:r>
      <w:r w:rsidR="0005103C" w:rsidRPr="00AE4314">
        <w:rPr>
          <w:lang w:val="it-IT"/>
        </w:rPr>
        <w:t>0.63-0.93</w:t>
      </w:r>
      <w:r w:rsidR="000F22B4" w:rsidRPr="00AE4314">
        <w:rPr>
          <w:lang w:val="it-IT"/>
        </w:rPr>
        <w:t>; p=</w:t>
      </w:r>
      <w:r w:rsidR="0005103C" w:rsidRPr="00AE4314">
        <w:rPr>
          <w:lang w:val="it-IT"/>
        </w:rPr>
        <w:t>0.004</w:t>
      </w:r>
      <w:r w:rsidR="000F22B4" w:rsidRPr="00AE4314">
        <w:rPr>
          <w:lang w:val="it-IT"/>
        </w:rPr>
        <w:t>)</w:t>
      </w:r>
      <w:r w:rsidR="0005103C" w:rsidRPr="00AE4314">
        <w:rPr>
          <w:vertAlign w:val="superscript"/>
          <w:lang w:val="it-IT"/>
        </w:rPr>
        <w:t>2</w:t>
      </w:r>
      <w:r w:rsidR="00AD3333" w:rsidRPr="00AE4314">
        <w:rPr>
          <w:lang w:val="it-IT"/>
        </w:rPr>
        <w:t>.</w:t>
      </w:r>
      <w:r w:rsidR="0005103C" w:rsidRPr="00AE4314">
        <w:rPr>
          <w:lang w:val="it-IT"/>
        </w:rPr>
        <w:t xml:space="preserve"> </w:t>
      </w:r>
      <w:r w:rsidR="00941422" w:rsidRPr="00AE4314">
        <w:rPr>
          <w:lang w:val="it-IT"/>
        </w:rPr>
        <w:t>L’analisi ha rilevato che ad un follow-up mediano di più di 6 anni, il più lungo tra gli studi ad oggi sugli inibitori CDK4/6, la differenza stimata nel miglioramento della sopravvivenza globale mediana era di oltre 1 anno</w:t>
      </w:r>
      <w:r w:rsidR="00941422" w:rsidRPr="00AE4314">
        <w:rPr>
          <w:vertAlign w:val="superscript"/>
          <w:lang w:val="it-IT"/>
        </w:rPr>
        <w:t>1</w:t>
      </w:r>
      <w:r w:rsidR="00941422" w:rsidRPr="00AE4314">
        <w:rPr>
          <w:lang w:val="it-IT"/>
        </w:rPr>
        <w:t xml:space="preserve">. Lo studio </w:t>
      </w:r>
      <w:r w:rsidR="001A4237" w:rsidRPr="00AE4314">
        <w:rPr>
          <w:lang w:val="it-IT"/>
        </w:rPr>
        <w:t>MONALEESA</w:t>
      </w:r>
      <w:r w:rsidR="00941422" w:rsidRPr="00AE4314">
        <w:rPr>
          <w:lang w:val="it-IT"/>
        </w:rPr>
        <w:t xml:space="preserve">-2 ha dimostrato che dopo 5 anni, </w:t>
      </w:r>
      <w:r w:rsidR="00982198" w:rsidRPr="00AE4314">
        <w:rPr>
          <w:lang w:val="it-IT"/>
        </w:rPr>
        <w:t>le</w:t>
      </w:r>
      <w:r w:rsidR="00941422" w:rsidRPr="00AE4314">
        <w:rPr>
          <w:lang w:val="it-IT"/>
        </w:rPr>
        <w:t xml:space="preserve"> pazienti trattat</w:t>
      </w:r>
      <w:r w:rsidR="00C42115">
        <w:rPr>
          <w:lang w:val="it-IT"/>
        </w:rPr>
        <w:t>e</w:t>
      </w:r>
      <w:r w:rsidR="00941422" w:rsidRPr="00AE4314">
        <w:rPr>
          <w:lang w:val="it-IT"/>
        </w:rPr>
        <w:t xml:space="preserve"> con ribociclib in combinazione con letrozolo hanno </w:t>
      </w:r>
      <w:r w:rsidR="00982198" w:rsidRPr="00AE4314">
        <w:rPr>
          <w:lang w:val="it-IT"/>
        </w:rPr>
        <w:t>avuto</w:t>
      </w:r>
      <w:r w:rsidR="00982198">
        <w:rPr>
          <w:lang w:val="it-IT"/>
        </w:rPr>
        <w:t xml:space="preserve"> più</w:t>
      </w:r>
      <w:r w:rsidR="00941422">
        <w:rPr>
          <w:lang w:val="it-IT"/>
        </w:rPr>
        <w:t xml:space="preserve"> del 50% di possibilità di sopravvivenza</w:t>
      </w:r>
      <w:r w:rsidR="00982198">
        <w:rPr>
          <w:lang w:val="it-IT"/>
        </w:rPr>
        <w:t xml:space="preserve"> </w:t>
      </w:r>
      <w:r w:rsidR="00982198" w:rsidRPr="00FB77EB">
        <w:rPr>
          <w:lang w:val="it-IT"/>
        </w:rPr>
        <w:t>rispetto a</w:t>
      </w:r>
      <w:r w:rsidR="00982198">
        <w:rPr>
          <w:lang w:val="it-IT"/>
        </w:rPr>
        <w:t>lle</w:t>
      </w:r>
      <w:r w:rsidR="00982198" w:rsidRPr="00FB77EB">
        <w:rPr>
          <w:lang w:val="it-IT"/>
        </w:rPr>
        <w:t xml:space="preserve"> pazienti che assumevano solo letrozolo</w:t>
      </w:r>
      <w:r w:rsidR="00D87E53">
        <w:rPr>
          <w:lang w:val="it-IT"/>
        </w:rPr>
        <w:t xml:space="preserve"> </w:t>
      </w:r>
      <w:r w:rsidR="00982198">
        <w:rPr>
          <w:lang w:val="it-IT"/>
        </w:rPr>
        <w:t>(52.3% vs 43.9%; 95%CI: 46.5-57.7 vs 38.3-49.4)</w:t>
      </w:r>
      <w:r w:rsidR="00982198">
        <w:rPr>
          <w:vertAlign w:val="superscript"/>
          <w:lang w:val="it-IT"/>
        </w:rPr>
        <w:t>2</w:t>
      </w:r>
      <w:r w:rsidR="000F22B4" w:rsidRPr="00FB77EB">
        <w:rPr>
          <w:lang w:val="it-IT"/>
        </w:rPr>
        <w:t xml:space="preserve">. </w:t>
      </w:r>
    </w:p>
    <w:p w14:paraId="17682629" w14:textId="77777777" w:rsidR="00AD3333" w:rsidRPr="00FB77EB" w:rsidRDefault="00AD3333" w:rsidP="00F7268A">
      <w:pPr>
        <w:jc w:val="both"/>
        <w:rPr>
          <w:lang w:val="it-IT"/>
        </w:rPr>
      </w:pPr>
    </w:p>
    <w:p w14:paraId="6F4CF234" w14:textId="77B34223" w:rsidR="0008533B" w:rsidRPr="00FB77EB" w:rsidRDefault="0008533B" w:rsidP="0008533B">
      <w:pPr>
        <w:spacing w:line="240" w:lineRule="auto"/>
        <w:jc w:val="both"/>
        <w:rPr>
          <w:rFonts w:cstheme="minorHAnsi"/>
          <w:color w:val="000000" w:themeColor="text1"/>
          <w:lang w:val="it-IT"/>
        </w:rPr>
      </w:pPr>
      <w:r w:rsidRPr="00FB77EB">
        <w:rPr>
          <w:rFonts w:cstheme="minorHAnsi"/>
          <w:color w:val="000000" w:themeColor="text1"/>
          <w:lang w:val="it-IT"/>
        </w:rPr>
        <w:t xml:space="preserve">“Nel 2020, in Italia, sono stati stimati circa 55mila nuovi casi di questa neoplasia – spiega </w:t>
      </w:r>
      <w:r w:rsidRPr="00FB77EB">
        <w:rPr>
          <w:rFonts w:cstheme="minorHAnsi"/>
          <w:b/>
          <w:bCs/>
          <w:color w:val="000000" w:themeColor="text1"/>
          <w:lang w:val="it-IT"/>
        </w:rPr>
        <w:t>Saverio Cinieri</w:t>
      </w:r>
      <w:r w:rsidRPr="00FB77EB">
        <w:rPr>
          <w:rFonts w:cstheme="minorHAnsi"/>
          <w:bCs/>
          <w:color w:val="000000" w:themeColor="text1"/>
          <w:lang w:val="it-IT"/>
        </w:rPr>
        <w:t>,</w:t>
      </w:r>
      <w:r w:rsidRPr="00FB77EB">
        <w:rPr>
          <w:rFonts w:cstheme="minorHAnsi"/>
          <w:b/>
          <w:bCs/>
          <w:color w:val="000000" w:themeColor="text1"/>
          <w:lang w:val="it-IT"/>
        </w:rPr>
        <w:t xml:space="preserve"> </w:t>
      </w:r>
      <w:r w:rsidR="00A338D6" w:rsidRPr="00FB77EB">
        <w:rPr>
          <w:rFonts w:cstheme="minorHAnsi"/>
          <w:lang w:val="it-IT" w:eastAsia="it-IT"/>
        </w:rPr>
        <w:t>Direttore Oncologia Medica e Breast Unit dell’Ospedale ‘Perrino’ di Brindisi e</w:t>
      </w:r>
      <w:r w:rsidR="00A338D6" w:rsidRPr="00FB77EB">
        <w:rPr>
          <w:rFonts w:cstheme="minorHAnsi"/>
          <w:lang w:val="it-IT"/>
        </w:rPr>
        <w:t xml:space="preserve"> </w:t>
      </w:r>
      <w:r w:rsidRPr="00FB77EB">
        <w:rPr>
          <w:rFonts w:cstheme="minorHAnsi"/>
          <w:color w:val="000000" w:themeColor="text1"/>
          <w:lang w:val="it-IT"/>
        </w:rPr>
        <w:t xml:space="preserve">Presidente eletto AIOM (Associazione Italiana di Oncologia Medica) -. </w:t>
      </w:r>
      <w:r w:rsidR="00A1023D">
        <w:rPr>
          <w:rFonts w:cstheme="minorHAnsi"/>
          <w:color w:val="000000" w:themeColor="text1"/>
          <w:lang w:val="it-IT"/>
        </w:rPr>
        <w:t>P</w:t>
      </w:r>
      <w:r w:rsidRPr="00FB77EB">
        <w:rPr>
          <w:rFonts w:cstheme="minorHAnsi"/>
          <w:color w:val="000000" w:themeColor="text1"/>
          <w:lang w:val="it-IT"/>
        </w:rPr>
        <w:t>iù di 37.000 donne vivono con la diagnosi di malattia metastatica. I dati d</w:t>
      </w:r>
      <w:r w:rsidR="00A1023D">
        <w:rPr>
          <w:rFonts w:cstheme="minorHAnsi"/>
          <w:color w:val="000000" w:themeColor="text1"/>
          <w:lang w:val="it-IT"/>
        </w:rPr>
        <w:t>el</w:t>
      </w:r>
      <w:r w:rsidRPr="00FB77EB">
        <w:rPr>
          <w:rFonts w:cstheme="minorHAnsi"/>
          <w:color w:val="000000" w:themeColor="text1"/>
          <w:lang w:val="it-IT"/>
        </w:rPr>
        <w:t xml:space="preserve"> MONALEESA-2, presentati al Congresso ESMO, riguardano la popolazione con carcinoma mammario più frequente nella </w:t>
      </w:r>
      <w:r w:rsidRPr="00FB77EB">
        <w:rPr>
          <w:rFonts w:cstheme="minorHAnsi"/>
          <w:color w:val="000000" w:themeColor="text1"/>
          <w:lang w:val="it-IT"/>
        </w:rPr>
        <w:lastRenderedPageBreak/>
        <w:t xml:space="preserve">pratica clinica quotidiana. Le donne in post menopausa rappresentano </w:t>
      </w:r>
      <w:r w:rsidR="00A1023D">
        <w:rPr>
          <w:rFonts w:cstheme="minorHAnsi"/>
          <w:color w:val="000000" w:themeColor="text1"/>
          <w:lang w:val="it-IT"/>
        </w:rPr>
        <w:t xml:space="preserve">infatti </w:t>
      </w:r>
      <w:r w:rsidRPr="00FB77EB">
        <w:rPr>
          <w:rFonts w:cstheme="minorHAnsi"/>
          <w:color w:val="000000" w:themeColor="text1"/>
          <w:lang w:val="it-IT"/>
        </w:rPr>
        <w:t>circa il 70% di quelle con tumore al seno endocrino-sensibile e la metà di queste corrisponde al profilo delle pazienti incluse nello studio</w:t>
      </w:r>
      <w:r w:rsidR="00FB77EB">
        <w:rPr>
          <w:rFonts w:cstheme="minorHAnsi"/>
          <w:color w:val="000000" w:themeColor="text1"/>
          <w:lang w:val="it-IT"/>
        </w:rPr>
        <w:t xml:space="preserve">. </w:t>
      </w:r>
      <w:r w:rsidRPr="00FB77EB">
        <w:rPr>
          <w:rFonts w:cstheme="minorHAnsi"/>
          <w:color w:val="000000" w:themeColor="text1"/>
          <w:lang w:val="it-IT"/>
        </w:rPr>
        <w:t xml:space="preserve">Questi </w:t>
      </w:r>
      <w:r w:rsidR="00A34E4C">
        <w:rPr>
          <w:rFonts w:cstheme="minorHAnsi"/>
          <w:color w:val="000000" w:themeColor="text1"/>
          <w:lang w:val="it-IT"/>
        </w:rPr>
        <w:t xml:space="preserve">importanti </w:t>
      </w:r>
      <w:r w:rsidRPr="00FB77EB">
        <w:rPr>
          <w:rFonts w:cstheme="minorHAnsi"/>
          <w:color w:val="000000" w:themeColor="text1"/>
          <w:lang w:val="it-IT"/>
        </w:rPr>
        <w:t xml:space="preserve">dati </w:t>
      </w:r>
      <w:r w:rsidR="00A34E4C">
        <w:rPr>
          <w:rFonts w:cstheme="minorHAnsi"/>
          <w:color w:val="000000" w:themeColor="text1"/>
          <w:lang w:val="it-IT"/>
        </w:rPr>
        <w:t>d</w:t>
      </w:r>
      <w:r w:rsidRPr="00FB77EB">
        <w:rPr>
          <w:rFonts w:cstheme="minorHAnsi"/>
          <w:color w:val="000000" w:themeColor="text1"/>
          <w:lang w:val="it-IT"/>
        </w:rPr>
        <w:t xml:space="preserve">i sopravvivenza globale sono incoraggianti e ci consentono di affermare che è </w:t>
      </w:r>
      <w:r w:rsidR="00A1023D">
        <w:rPr>
          <w:rFonts w:cstheme="minorHAnsi"/>
          <w:color w:val="000000" w:themeColor="text1"/>
          <w:lang w:val="it-IT"/>
        </w:rPr>
        <w:t>stato</w:t>
      </w:r>
      <w:r w:rsidRPr="00FB77EB">
        <w:rPr>
          <w:rFonts w:cstheme="minorHAnsi"/>
          <w:color w:val="000000" w:themeColor="text1"/>
          <w:lang w:val="it-IT"/>
        </w:rPr>
        <w:t xml:space="preserve"> raggiunto l’obiettivo di cronicizzare la malattia avanzata”. </w:t>
      </w:r>
    </w:p>
    <w:p w14:paraId="118CC40C" w14:textId="26D5B351" w:rsidR="005F5D8F" w:rsidRPr="00FB77EB" w:rsidRDefault="005F5D8F" w:rsidP="00F7268A">
      <w:pPr>
        <w:jc w:val="both"/>
        <w:rPr>
          <w:rFonts w:cstheme="minorHAnsi"/>
          <w:lang w:val="it-IT"/>
        </w:rPr>
      </w:pPr>
    </w:p>
    <w:p w14:paraId="5B9701DC" w14:textId="292FA6CB" w:rsidR="0008533B" w:rsidRPr="00FB77EB" w:rsidRDefault="0008533B" w:rsidP="00A338D6">
      <w:pPr>
        <w:spacing w:line="240" w:lineRule="auto"/>
        <w:jc w:val="both"/>
        <w:rPr>
          <w:rFonts w:cstheme="minorHAnsi"/>
          <w:lang w:val="it-IT"/>
        </w:rPr>
      </w:pPr>
      <w:r w:rsidRPr="00FB77EB">
        <w:rPr>
          <w:rFonts w:cstheme="minorHAnsi"/>
          <w:color w:val="000000" w:themeColor="text1"/>
          <w:lang w:val="it-IT"/>
        </w:rPr>
        <w:t xml:space="preserve">“Attendevamo con ansia questi dati, che sono </w:t>
      </w:r>
      <w:r w:rsidR="00AC1CDF">
        <w:rPr>
          <w:rFonts w:cstheme="minorHAnsi"/>
          <w:color w:val="000000" w:themeColor="text1"/>
          <w:lang w:val="it-IT"/>
        </w:rPr>
        <w:t>molti</w:t>
      </w:r>
      <w:r w:rsidRPr="00FB77EB">
        <w:rPr>
          <w:rFonts w:cstheme="minorHAnsi"/>
          <w:color w:val="000000" w:themeColor="text1"/>
          <w:lang w:val="it-IT"/>
        </w:rPr>
        <w:t xml:space="preserve"> solidi e confermano l’efficacia della terapia a bersaglio molecolare con ribociclib – afferma </w:t>
      </w:r>
      <w:r w:rsidRPr="00FB77EB">
        <w:rPr>
          <w:rFonts w:cstheme="minorHAnsi"/>
          <w:b/>
          <w:bCs/>
          <w:color w:val="000000" w:themeColor="text1"/>
          <w:lang w:val="it-IT"/>
        </w:rPr>
        <w:t>Michelino De Laurentiis</w:t>
      </w:r>
      <w:r w:rsidRPr="00FB77EB">
        <w:rPr>
          <w:rFonts w:cstheme="minorHAnsi"/>
          <w:bCs/>
          <w:color w:val="000000" w:themeColor="text1"/>
          <w:lang w:val="it-IT"/>
        </w:rPr>
        <w:t>,</w:t>
      </w:r>
      <w:r w:rsidRPr="00FB77EB">
        <w:rPr>
          <w:rFonts w:cstheme="minorHAnsi"/>
          <w:b/>
          <w:bCs/>
          <w:color w:val="000000" w:themeColor="text1"/>
          <w:lang w:val="it-IT"/>
        </w:rPr>
        <w:t xml:space="preserve"> </w:t>
      </w:r>
      <w:r w:rsidRPr="00FB77EB">
        <w:rPr>
          <w:rFonts w:eastAsia="Times New Roman" w:cstheme="minorHAnsi"/>
          <w:iCs/>
          <w:color w:val="000000" w:themeColor="text1"/>
          <w:shd w:val="clear" w:color="auto" w:fill="FFFFFF"/>
          <w:lang w:val="it-IT" w:eastAsia="it-IT"/>
        </w:rPr>
        <w:t xml:space="preserve">Direttore del Dipartimento di Oncologia Senologica e Toraco-Polmonare, </w:t>
      </w:r>
      <w:r w:rsidRPr="00FB77EB">
        <w:rPr>
          <w:rFonts w:eastAsia="Calibri" w:cstheme="minorHAnsi"/>
          <w:color w:val="000000" w:themeColor="text1"/>
          <w:lang w:val="it-IT"/>
        </w:rPr>
        <w:t xml:space="preserve">Istituto Nazionale Tumori IRCCS Fondazione ‘G. Pascale’ di Napoli -. Vi erano già due studi </w:t>
      </w:r>
      <w:r w:rsidR="00A1023D">
        <w:rPr>
          <w:rFonts w:eastAsia="Calibri" w:cstheme="minorHAnsi"/>
          <w:color w:val="000000" w:themeColor="text1"/>
          <w:lang w:val="it-IT"/>
        </w:rPr>
        <w:t>con</w:t>
      </w:r>
      <w:r w:rsidRPr="00FB77EB">
        <w:rPr>
          <w:rFonts w:eastAsia="Calibri" w:cstheme="minorHAnsi"/>
          <w:color w:val="000000" w:themeColor="text1"/>
          <w:lang w:val="it-IT"/>
        </w:rPr>
        <w:t xml:space="preserve"> </w:t>
      </w:r>
      <w:r w:rsidRPr="00FB77EB">
        <w:rPr>
          <w:rFonts w:cstheme="minorHAnsi"/>
          <w:color w:val="000000" w:themeColor="text1"/>
          <w:lang w:val="it-IT"/>
        </w:rPr>
        <w:t>ribociclib condotti su popolazioni diverse: MONALEESA-7 e MONALEESA-3. Il ‘pezzo’ mancante era proprio</w:t>
      </w:r>
      <w:r w:rsidR="00A1023D">
        <w:rPr>
          <w:rFonts w:cstheme="minorHAnsi"/>
          <w:color w:val="000000" w:themeColor="text1"/>
          <w:lang w:val="it-IT"/>
        </w:rPr>
        <w:t xml:space="preserve"> il</w:t>
      </w:r>
      <w:r w:rsidRPr="00FB77EB">
        <w:rPr>
          <w:rFonts w:cstheme="minorHAnsi"/>
          <w:color w:val="000000" w:themeColor="text1"/>
          <w:lang w:val="it-IT"/>
        </w:rPr>
        <w:t xml:space="preserve"> MONALEESA-2. Lo studio è maturo, con un follow up mediano di circa 80 mesi: questo significa che metà delle pazienti è stata seguita per almeno 7 anni. Siamo di fronte a una sperimentazione il cui risultato è stabile, definitivo</w:t>
      </w:r>
      <w:r w:rsidR="00FB77EB">
        <w:rPr>
          <w:rFonts w:cstheme="minorHAnsi"/>
          <w:color w:val="000000" w:themeColor="text1"/>
          <w:lang w:val="it-IT"/>
        </w:rPr>
        <w:t xml:space="preserve">. </w:t>
      </w:r>
      <w:r w:rsidRPr="00FB77EB">
        <w:rPr>
          <w:rFonts w:cstheme="minorHAnsi"/>
          <w:color w:val="000000" w:themeColor="text1"/>
          <w:lang w:val="it-IT"/>
        </w:rPr>
        <w:t>Ribociclib ha mostrato una riduzione del 24% del rischio di morte, coerente con quanto già visto negli altri due studi MONALEESA. Altro dato che conferma la validità del farmaco è la sopravvivenza globale mediana, pari a 63,9 mesi. È la più lunga mai registrata in tutti i tipi di tumore della mammella. Significa che metà delle pazienti vive più di 5 anni. I dati delle tre sperimentazioni su ribocliclib si rafforzano a vicenda e lo pongono come</w:t>
      </w:r>
      <w:r w:rsidRPr="00FB77EB">
        <w:rPr>
          <w:rFonts w:cstheme="minorHAnsi"/>
          <w:i/>
          <w:iCs/>
          <w:color w:val="000000" w:themeColor="text1"/>
          <w:lang w:val="it-IT"/>
        </w:rPr>
        <w:t xml:space="preserve"> </w:t>
      </w:r>
      <w:r w:rsidRPr="00FB77EB">
        <w:rPr>
          <w:rFonts w:cstheme="minorHAnsi"/>
          <w:color w:val="000000" w:themeColor="text1"/>
          <w:lang w:val="it-IT"/>
        </w:rPr>
        <w:t>l’unico</w:t>
      </w:r>
      <w:r w:rsidR="000D1850">
        <w:rPr>
          <w:rFonts w:cstheme="minorHAnsi"/>
          <w:color w:val="000000" w:themeColor="text1"/>
          <w:lang w:val="it-IT"/>
        </w:rPr>
        <w:t xml:space="preserve"> inibitore</w:t>
      </w:r>
      <w:r w:rsidRPr="00FB77EB">
        <w:rPr>
          <w:rFonts w:cstheme="minorHAnsi"/>
          <w:color w:val="000000" w:themeColor="text1"/>
          <w:lang w:val="it-IT"/>
        </w:rPr>
        <w:t xml:space="preserve"> CDK4/6</w:t>
      </w:r>
      <w:r w:rsidR="00A1023D">
        <w:rPr>
          <w:rFonts w:cstheme="minorHAnsi"/>
          <w:color w:val="000000" w:themeColor="text1"/>
          <w:lang w:val="it-IT"/>
        </w:rPr>
        <w:t xml:space="preserve"> </w:t>
      </w:r>
      <w:r w:rsidRPr="00FB77EB">
        <w:rPr>
          <w:rFonts w:cstheme="minorHAnsi"/>
          <w:color w:val="000000" w:themeColor="text1"/>
          <w:lang w:val="it-IT"/>
        </w:rPr>
        <w:t xml:space="preserve">ad aver dimostrato </w:t>
      </w:r>
      <w:r w:rsidR="00A1023D">
        <w:rPr>
          <w:rFonts w:cstheme="minorHAnsi"/>
          <w:color w:val="000000" w:themeColor="text1"/>
          <w:lang w:val="it-IT"/>
        </w:rPr>
        <w:t xml:space="preserve">un </w:t>
      </w:r>
      <w:r w:rsidRPr="00FB77EB">
        <w:rPr>
          <w:rFonts w:cstheme="minorHAnsi"/>
          <w:color w:val="000000" w:themeColor="text1"/>
          <w:lang w:val="it-IT"/>
        </w:rPr>
        <w:t>vantaggi</w:t>
      </w:r>
      <w:r w:rsidR="00A1023D">
        <w:rPr>
          <w:rFonts w:cstheme="minorHAnsi"/>
          <w:color w:val="000000" w:themeColor="text1"/>
          <w:lang w:val="it-IT"/>
        </w:rPr>
        <w:t>o</w:t>
      </w:r>
      <w:r w:rsidRPr="00FB77EB">
        <w:rPr>
          <w:rFonts w:cstheme="minorHAnsi"/>
          <w:color w:val="000000" w:themeColor="text1"/>
          <w:lang w:val="it-IT"/>
        </w:rPr>
        <w:t xml:space="preserve"> </w:t>
      </w:r>
      <w:r w:rsidR="00A1023D">
        <w:rPr>
          <w:rFonts w:cstheme="minorHAnsi"/>
          <w:color w:val="000000" w:themeColor="text1"/>
          <w:lang w:val="it-IT"/>
        </w:rPr>
        <w:t>in</w:t>
      </w:r>
      <w:r w:rsidRPr="00FB77EB">
        <w:rPr>
          <w:rFonts w:cstheme="minorHAnsi"/>
          <w:color w:val="000000" w:themeColor="text1"/>
          <w:lang w:val="it-IT"/>
        </w:rPr>
        <w:t xml:space="preserve"> sopravvivenza globale</w:t>
      </w:r>
      <w:r w:rsidRPr="00FB77EB">
        <w:rPr>
          <w:rFonts w:cstheme="minorHAnsi"/>
          <w:i/>
          <w:iCs/>
          <w:color w:val="000000" w:themeColor="text1"/>
          <w:lang w:val="it-IT"/>
        </w:rPr>
        <w:t xml:space="preserve"> </w:t>
      </w:r>
      <w:r w:rsidRPr="00FB77EB">
        <w:rPr>
          <w:rFonts w:cstheme="minorHAnsi"/>
          <w:color w:val="000000" w:themeColor="text1"/>
          <w:lang w:val="it-IT"/>
        </w:rPr>
        <w:t xml:space="preserve">in tutte le popolazioni </w:t>
      </w:r>
      <w:r w:rsidR="00A1023D">
        <w:rPr>
          <w:rFonts w:cstheme="minorHAnsi"/>
          <w:color w:val="000000" w:themeColor="text1"/>
          <w:lang w:val="it-IT"/>
        </w:rPr>
        <w:t>studiate</w:t>
      </w:r>
      <w:r w:rsidRPr="00FB77EB">
        <w:rPr>
          <w:rFonts w:cstheme="minorHAnsi"/>
          <w:color w:val="000000" w:themeColor="text1"/>
          <w:lang w:val="it-IT"/>
        </w:rPr>
        <w:t xml:space="preserve">, quindi in donne in pre/peri e postmenopausa e con diverse combinazioni </w:t>
      </w:r>
      <w:r w:rsidR="00A1023D">
        <w:rPr>
          <w:rFonts w:cstheme="minorHAnsi"/>
          <w:color w:val="000000" w:themeColor="text1"/>
          <w:lang w:val="it-IT"/>
        </w:rPr>
        <w:t>ormonali</w:t>
      </w:r>
      <w:r w:rsidRPr="00FB77EB">
        <w:rPr>
          <w:rFonts w:cstheme="minorHAnsi"/>
          <w:color w:val="000000" w:themeColor="text1"/>
          <w:lang w:val="it-IT"/>
        </w:rPr>
        <w:t xml:space="preserve">”. </w:t>
      </w:r>
    </w:p>
    <w:p w14:paraId="364AB00C" w14:textId="4B66B862" w:rsidR="0008533B" w:rsidRPr="00FB77EB" w:rsidRDefault="0008533B" w:rsidP="00F7268A">
      <w:pPr>
        <w:jc w:val="both"/>
        <w:rPr>
          <w:lang w:val="it-IT"/>
        </w:rPr>
      </w:pPr>
    </w:p>
    <w:p w14:paraId="04E41D2C" w14:textId="0D321FC7" w:rsidR="00151C07" w:rsidRPr="00FB77EB" w:rsidRDefault="00FF168B" w:rsidP="00F7268A">
      <w:pPr>
        <w:jc w:val="both"/>
        <w:rPr>
          <w:lang w:val="it-IT"/>
        </w:rPr>
      </w:pPr>
      <w:r w:rsidRPr="00FB77EB">
        <w:rPr>
          <w:lang w:val="it-IT"/>
        </w:rPr>
        <w:t xml:space="preserve">Nello studio </w:t>
      </w:r>
      <w:r w:rsidR="00DC5E16" w:rsidRPr="00FB77EB">
        <w:rPr>
          <w:lang w:val="it-IT"/>
        </w:rPr>
        <w:t>MONALEESA-2</w:t>
      </w:r>
      <w:r w:rsidR="003D65A3" w:rsidRPr="00FB77EB">
        <w:rPr>
          <w:lang w:val="it-IT"/>
        </w:rPr>
        <w:t>,</w:t>
      </w:r>
      <w:r w:rsidR="00DC5E16" w:rsidRPr="00FB77EB">
        <w:rPr>
          <w:lang w:val="it-IT"/>
        </w:rPr>
        <w:t xml:space="preserve"> </w:t>
      </w:r>
      <w:r w:rsidR="00F05698" w:rsidRPr="00FB77EB">
        <w:rPr>
          <w:lang w:val="it-IT"/>
        </w:rPr>
        <w:t xml:space="preserve">si è registrato un </w:t>
      </w:r>
      <w:r w:rsidR="002F5BFE">
        <w:rPr>
          <w:lang w:val="it-IT"/>
        </w:rPr>
        <w:t xml:space="preserve">ritardo di 12 mesi nel tempo </w:t>
      </w:r>
      <w:r w:rsidR="00126EC9">
        <w:rPr>
          <w:lang w:val="it-IT"/>
        </w:rPr>
        <w:t>libero da</w:t>
      </w:r>
      <w:r w:rsidR="00F05698" w:rsidRPr="00FB77EB">
        <w:rPr>
          <w:lang w:val="it-IT"/>
        </w:rPr>
        <w:t xml:space="preserve"> chemioterapia</w:t>
      </w:r>
      <w:r w:rsidR="009A5DAD" w:rsidRPr="00FB77EB">
        <w:rPr>
          <w:lang w:val="it-IT"/>
        </w:rPr>
        <w:t xml:space="preserve"> </w:t>
      </w:r>
      <w:r w:rsidR="002F5BFE">
        <w:rPr>
          <w:lang w:val="it-IT"/>
        </w:rPr>
        <w:t xml:space="preserve">con ribociclib e letrozolo </w:t>
      </w:r>
      <w:r w:rsidR="00442EEE" w:rsidRPr="00FB77EB">
        <w:rPr>
          <w:lang w:val="it-IT"/>
        </w:rPr>
        <w:t>(median</w:t>
      </w:r>
      <w:r w:rsidR="00F05698" w:rsidRPr="00FB77EB">
        <w:rPr>
          <w:lang w:val="it-IT"/>
        </w:rPr>
        <w:t>a</w:t>
      </w:r>
      <w:r w:rsidR="00442EEE" w:rsidRPr="00FB77EB">
        <w:rPr>
          <w:lang w:val="it-IT"/>
        </w:rPr>
        <w:t xml:space="preserve"> </w:t>
      </w:r>
      <w:r w:rsidR="002F5BFE">
        <w:rPr>
          <w:lang w:val="it-IT"/>
        </w:rPr>
        <w:t>50.6</w:t>
      </w:r>
      <w:r w:rsidR="00442EEE" w:rsidRPr="00FB77EB">
        <w:rPr>
          <w:color w:val="FF0000"/>
          <w:lang w:val="it-IT"/>
        </w:rPr>
        <w:t xml:space="preserve"> </w:t>
      </w:r>
      <w:r w:rsidR="00442EEE" w:rsidRPr="00FB77EB">
        <w:rPr>
          <w:lang w:val="it-IT"/>
        </w:rPr>
        <w:t>vs</w:t>
      </w:r>
      <w:r w:rsidR="00A77843" w:rsidRPr="00FB77EB">
        <w:rPr>
          <w:lang w:val="it-IT"/>
        </w:rPr>
        <w:t>.</w:t>
      </w:r>
      <w:r w:rsidR="00442EEE" w:rsidRPr="00FB77EB">
        <w:rPr>
          <w:lang w:val="it-IT"/>
        </w:rPr>
        <w:t xml:space="preserve"> </w:t>
      </w:r>
      <w:r w:rsidR="002F5BFE">
        <w:rPr>
          <w:lang w:val="it-IT"/>
        </w:rPr>
        <w:t>38.9</w:t>
      </w:r>
      <w:r w:rsidR="00442EEE" w:rsidRPr="00FB77EB">
        <w:rPr>
          <w:color w:val="FF0000"/>
          <w:lang w:val="it-IT"/>
        </w:rPr>
        <w:t xml:space="preserve"> </w:t>
      </w:r>
      <w:r w:rsidR="00442EEE" w:rsidRPr="00FB77EB">
        <w:rPr>
          <w:lang w:val="it-IT"/>
        </w:rPr>
        <w:t>m</w:t>
      </w:r>
      <w:r w:rsidR="00F05698" w:rsidRPr="00FB77EB">
        <w:rPr>
          <w:lang w:val="it-IT"/>
        </w:rPr>
        <w:t>esi</w:t>
      </w:r>
      <w:r w:rsidR="00442EEE" w:rsidRPr="00FB77EB">
        <w:rPr>
          <w:lang w:val="it-IT"/>
        </w:rPr>
        <w:t>; HR=</w:t>
      </w:r>
      <w:r w:rsidR="002F5BFE">
        <w:rPr>
          <w:lang w:val="it-IT"/>
        </w:rPr>
        <w:t>0.74</w:t>
      </w:r>
      <w:r w:rsidR="00442EEE" w:rsidRPr="00FB77EB">
        <w:rPr>
          <w:lang w:val="it-IT"/>
        </w:rPr>
        <w:t xml:space="preserve">; 95% CI: </w:t>
      </w:r>
      <w:r w:rsidR="00014538">
        <w:rPr>
          <w:lang w:val="it-IT"/>
        </w:rPr>
        <w:t>0.61-0.91</w:t>
      </w:r>
      <w:r w:rsidR="00442EEE" w:rsidRPr="00FB77EB">
        <w:rPr>
          <w:lang w:val="it-IT"/>
        </w:rPr>
        <w:t xml:space="preserve">) </w:t>
      </w:r>
      <w:r w:rsidRPr="00FB77EB">
        <w:rPr>
          <w:lang w:val="it-IT"/>
        </w:rPr>
        <w:t>rispetto</w:t>
      </w:r>
      <w:r w:rsidR="00F05698" w:rsidRPr="00FB77EB">
        <w:rPr>
          <w:lang w:val="it-IT"/>
        </w:rPr>
        <w:t xml:space="preserve"> a</w:t>
      </w:r>
      <w:r w:rsidR="00742BF4">
        <w:rPr>
          <w:lang w:val="it-IT"/>
        </w:rPr>
        <w:t>lle</w:t>
      </w:r>
      <w:r w:rsidR="00F05698" w:rsidRPr="00FB77EB">
        <w:rPr>
          <w:lang w:val="it-IT"/>
        </w:rPr>
        <w:t xml:space="preserve"> pazienti che assumevano solo </w:t>
      </w:r>
      <w:r w:rsidR="003D65A3" w:rsidRPr="00FB77EB">
        <w:rPr>
          <w:lang w:val="it-IT"/>
        </w:rPr>
        <w:t>letrozol</w:t>
      </w:r>
      <w:r w:rsidR="00F05698" w:rsidRPr="00FB77EB">
        <w:rPr>
          <w:lang w:val="it-IT"/>
        </w:rPr>
        <w:t>o</w:t>
      </w:r>
      <w:r w:rsidR="00956582">
        <w:rPr>
          <w:vertAlign w:val="superscript"/>
          <w:lang w:val="it-IT"/>
        </w:rPr>
        <w:t>2</w:t>
      </w:r>
      <w:r w:rsidR="00151C07" w:rsidRPr="00FB77EB">
        <w:rPr>
          <w:lang w:val="it-IT"/>
        </w:rPr>
        <w:t xml:space="preserve">. </w:t>
      </w:r>
    </w:p>
    <w:p w14:paraId="3E3FC3C0" w14:textId="77777777" w:rsidR="00787613" w:rsidRPr="00AE4314" w:rsidRDefault="00787613" w:rsidP="00F7268A">
      <w:pPr>
        <w:jc w:val="both"/>
        <w:rPr>
          <w:lang w:val="it-IT"/>
        </w:rPr>
      </w:pPr>
    </w:p>
    <w:p w14:paraId="023FB1CA" w14:textId="36750C78" w:rsidR="0055155D" w:rsidRPr="00FB77EB" w:rsidRDefault="0055155D" w:rsidP="0055155D">
      <w:pPr>
        <w:spacing w:line="240" w:lineRule="auto"/>
        <w:jc w:val="both"/>
        <w:rPr>
          <w:rFonts w:cstheme="minorHAnsi"/>
          <w:color w:val="000000" w:themeColor="text1"/>
          <w:lang w:val="it-IT"/>
        </w:rPr>
      </w:pPr>
      <w:r w:rsidRPr="00FB77EB">
        <w:rPr>
          <w:rFonts w:cstheme="minorHAnsi"/>
          <w:color w:val="000000" w:themeColor="text1"/>
          <w:lang w:val="it-IT"/>
        </w:rPr>
        <w:t xml:space="preserve">“Il trattamento standard dei tumori mammari positivi per i recettori ormonali è la combinazione di un inibitore di cicline con il trattamento ormonale – sottolinea </w:t>
      </w:r>
      <w:r w:rsidRPr="00FB77EB">
        <w:rPr>
          <w:rFonts w:eastAsia="Times New Roman" w:cstheme="minorHAnsi"/>
          <w:b/>
          <w:color w:val="000000" w:themeColor="text1"/>
          <w:lang w:val="it-IT" w:eastAsia="it-IT"/>
        </w:rPr>
        <w:t xml:space="preserve">Pierfranco Conte, </w:t>
      </w:r>
      <w:r w:rsidRPr="00FB77EB">
        <w:rPr>
          <w:rFonts w:eastAsia="Times New Roman" w:cstheme="minorHAnsi"/>
          <w:bCs/>
          <w:color w:val="000000" w:themeColor="text1"/>
          <w:lang w:val="it-IT" w:eastAsia="it-IT"/>
        </w:rPr>
        <w:t>Direttore Divisione di Oncologia Medica 2, Istituto Oncologico Veneto di Padova -</w:t>
      </w:r>
      <w:r w:rsidRPr="00FB77EB">
        <w:rPr>
          <w:rFonts w:cstheme="minorHAnsi"/>
          <w:color w:val="000000" w:themeColor="text1"/>
          <w:lang w:val="it-IT"/>
        </w:rPr>
        <w:t>. Ribociclib è l’unico farmaco della classe degli inibitori CDK4/6 in grado di vantare una totale coerenza e solidità di risultati, indipendentemente dalla condizione</w:t>
      </w:r>
      <w:r w:rsidR="00C122C2">
        <w:rPr>
          <w:rFonts w:cstheme="minorHAnsi"/>
          <w:color w:val="000000" w:themeColor="text1"/>
          <w:lang w:val="it-IT"/>
        </w:rPr>
        <w:t xml:space="preserve"> menopausale</w:t>
      </w:r>
      <w:r w:rsidRPr="00FB77EB">
        <w:rPr>
          <w:rFonts w:cstheme="minorHAnsi"/>
          <w:color w:val="000000" w:themeColor="text1"/>
          <w:lang w:val="it-IT"/>
        </w:rPr>
        <w:t xml:space="preserve"> e dalla linea di terapia. Un altro ‘numero’ che misura la portata dello studio MONALEESA-2 è che, a 6 anni di follow up, quasi la metà delle donne, il 44%, è ancora vivo. Sono dati mai visti con nessun trattamento in questa popolazione di pazienti. </w:t>
      </w:r>
      <w:r w:rsidR="00C122C2">
        <w:rPr>
          <w:rFonts w:cstheme="minorHAnsi"/>
          <w:color w:val="000000" w:themeColor="text1"/>
          <w:lang w:val="it-IT"/>
        </w:rPr>
        <w:t>L</w:t>
      </w:r>
      <w:r w:rsidRPr="00FB77EB">
        <w:rPr>
          <w:rFonts w:cstheme="minorHAnsi"/>
          <w:color w:val="000000" w:themeColor="text1"/>
          <w:lang w:val="it-IT"/>
        </w:rPr>
        <w:t>’Italia ha contribuito in maniera importante a tutto il programma d</w:t>
      </w:r>
      <w:r w:rsidR="00C122C2">
        <w:rPr>
          <w:rFonts w:cstheme="minorHAnsi"/>
          <w:color w:val="000000" w:themeColor="text1"/>
          <w:lang w:val="it-IT"/>
        </w:rPr>
        <w:t>egli</w:t>
      </w:r>
      <w:r w:rsidRPr="00FB77EB">
        <w:rPr>
          <w:rFonts w:cstheme="minorHAnsi"/>
          <w:color w:val="000000" w:themeColor="text1"/>
          <w:lang w:val="it-IT"/>
        </w:rPr>
        <w:t xml:space="preserve"> studi MONALEESA. </w:t>
      </w:r>
      <w:r w:rsidRPr="00FB77EB">
        <w:rPr>
          <w:rFonts w:eastAsia="Calibri" w:cstheme="minorHAnsi"/>
          <w:color w:val="000000" w:themeColor="text1"/>
          <w:lang w:val="it-IT"/>
        </w:rPr>
        <w:t xml:space="preserve">Gli inibitori </w:t>
      </w:r>
      <w:r w:rsidR="00C122C2">
        <w:rPr>
          <w:rFonts w:eastAsia="Calibri" w:cstheme="minorHAnsi"/>
          <w:color w:val="000000" w:themeColor="text1"/>
          <w:lang w:val="it-IT"/>
        </w:rPr>
        <w:t xml:space="preserve">di </w:t>
      </w:r>
      <w:r w:rsidRPr="00FB77EB">
        <w:rPr>
          <w:rFonts w:cstheme="minorHAnsi"/>
          <w:color w:val="000000" w:themeColor="text1"/>
          <w:lang w:val="it-IT"/>
        </w:rPr>
        <w:t>CDK4/6, inoltre, permettono di evitare il ricorso alla chemioterapia in prima linea o di posticiparla, con grandi vantaggi in termini di qualità di vita e di minori tossicità. Grazie a questa terapia riusciamo a offrire alle pazienti non solo una sopravvivenza a lungo termine ma anche a migliorare la loro qualità di vita, con un ottimo controllo della malattia. La maggioranza delle donne infatti può continuare a condurre una vita normale”.</w:t>
      </w:r>
    </w:p>
    <w:p w14:paraId="2A6866E2" w14:textId="77777777" w:rsidR="0055155D" w:rsidRPr="00FB77EB" w:rsidRDefault="0055155D" w:rsidP="0055155D">
      <w:pPr>
        <w:spacing w:line="240" w:lineRule="auto"/>
        <w:jc w:val="both"/>
        <w:rPr>
          <w:rFonts w:cstheme="minorHAnsi"/>
          <w:lang w:val="it-IT"/>
        </w:rPr>
      </w:pPr>
    </w:p>
    <w:p w14:paraId="3130B4B0" w14:textId="56F9CB51" w:rsidR="00F31088" w:rsidRPr="00FB77EB" w:rsidRDefault="00982198" w:rsidP="00F7268A">
      <w:pPr>
        <w:jc w:val="both"/>
        <w:rPr>
          <w:lang w:val="it-IT"/>
        </w:rPr>
      </w:pPr>
      <w:r>
        <w:rPr>
          <w:lang w:val="it-IT"/>
        </w:rPr>
        <w:t>In questa analisi con un follow up più lungo, n</w:t>
      </w:r>
      <w:r w:rsidR="00F31088" w:rsidRPr="00FB77EB">
        <w:rPr>
          <w:lang w:val="it-IT"/>
        </w:rPr>
        <w:t>o</w:t>
      </w:r>
      <w:r w:rsidR="000C3CE8" w:rsidRPr="00FB77EB">
        <w:rPr>
          <w:lang w:val="it-IT"/>
        </w:rPr>
        <w:t xml:space="preserve">n sono stati osservati </w:t>
      </w:r>
      <w:r w:rsidR="00F62091" w:rsidRPr="00FB77EB">
        <w:rPr>
          <w:lang w:val="it-IT"/>
        </w:rPr>
        <w:t xml:space="preserve">nuovi </w:t>
      </w:r>
      <w:r w:rsidR="00C122C2" w:rsidRPr="00FB77EB">
        <w:rPr>
          <w:lang w:val="it-IT"/>
        </w:rPr>
        <w:t>eventi avversi</w:t>
      </w:r>
      <w:r w:rsidR="00C122C2">
        <w:rPr>
          <w:lang w:val="it-IT"/>
        </w:rPr>
        <w:t xml:space="preserve">; il profilo di </w:t>
      </w:r>
      <w:r w:rsidR="00A34E4C">
        <w:rPr>
          <w:lang w:val="it-IT"/>
        </w:rPr>
        <w:t>sicurezza</w:t>
      </w:r>
      <w:r w:rsidR="00D87E53">
        <w:rPr>
          <w:lang w:val="it-IT"/>
        </w:rPr>
        <w:t xml:space="preserve"> </w:t>
      </w:r>
      <w:r w:rsidR="00C122C2">
        <w:rPr>
          <w:lang w:val="it-IT"/>
        </w:rPr>
        <w:t>era</w:t>
      </w:r>
      <w:r w:rsidR="00F62091" w:rsidRPr="00FB77EB">
        <w:rPr>
          <w:lang w:val="it-IT"/>
        </w:rPr>
        <w:t xml:space="preserve"> coerent</w:t>
      </w:r>
      <w:r w:rsidR="00C122C2">
        <w:rPr>
          <w:lang w:val="it-IT"/>
        </w:rPr>
        <w:t>e</w:t>
      </w:r>
      <w:r w:rsidR="00F62091" w:rsidRPr="00FB77EB">
        <w:rPr>
          <w:lang w:val="it-IT"/>
        </w:rPr>
        <w:t xml:space="preserve"> con i risultati precedentemente riportati nello studio di Fase </w:t>
      </w:r>
      <w:r w:rsidR="00F31088" w:rsidRPr="00FB77EB">
        <w:rPr>
          <w:lang w:val="it-IT"/>
        </w:rPr>
        <w:t>III.</w:t>
      </w:r>
    </w:p>
    <w:p w14:paraId="3490A1C0" w14:textId="77777777" w:rsidR="00FA12CC" w:rsidRPr="00FB77EB" w:rsidRDefault="00FA12CC" w:rsidP="00F7268A">
      <w:pPr>
        <w:jc w:val="both"/>
        <w:rPr>
          <w:lang w:val="it-IT"/>
        </w:rPr>
      </w:pPr>
    </w:p>
    <w:p w14:paraId="4D0703AA" w14:textId="37C0DB2E" w:rsidR="0098408D" w:rsidRDefault="000D1850" w:rsidP="00D87E53">
      <w:pPr>
        <w:jc w:val="both"/>
        <w:rPr>
          <w:vertAlign w:val="superscript"/>
          <w:lang w:val="it-IT"/>
        </w:rPr>
      </w:pPr>
      <w:r w:rsidRPr="00AE4314">
        <w:rPr>
          <w:lang w:val="it-IT"/>
        </w:rPr>
        <w:t>Nello studio M</w:t>
      </w:r>
      <w:r w:rsidR="00C42115" w:rsidRPr="00AE4314">
        <w:rPr>
          <w:lang w:val="it-IT"/>
        </w:rPr>
        <w:t>ONALEESA</w:t>
      </w:r>
      <w:r w:rsidRPr="00AE4314">
        <w:rPr>
          <w:lang w:val="it-IT"/>
        </w:rPr>
        <w:t>-2,</w:t>
      </w:r>
      <w:r w:rsidR="00956582" w:rsidRPr="00AE4314">
        <w:rPr>
          <w:lang w:val="it-IT"/>
        </w:rPr>
        <w:t xml:space="preserve"> </w:t>
      </w:r>
      <w:r w:rsidRPr="00AE4314">
        <w:rPr>
          <w:lang w:val="it-IT"/>
        </w:rPr>
        <w:t>l’endpoint primario di sopr</w:t>
      </w:r>
      <w:r w:rsidR="0098408D" w:rsidRPr="00AE4314">
        <w:rPr>
          <w:lang w:val="it-IT"/>
        </w:rPr>
        <w:t>a</w:t>
      </w:r>
      <w:r w:rsidRPr="00AE4314">
        <w:rPr>
          <w:lang w:val="it-IT"/>
        </w:rPr>
        <w:t>vvivenza libera</w:t>
      </w:r>
      <w:r w:rsidR="0098408D" w:rsidRPr="00AE4314">
        <w:rPr>
          <w:lang w:val="it-IT"/>
        </w:rPr>
        <w:t xml:space="preserve"> da progression</w:t>
      </w:r>
      <w:r w:rsidR="004E40A9">
        <w:rPr>
          <w:lang w:val="it-IT"/>
        </w:rPr>
        <w:t>e</w:t>
      </w:r>
      <w:r w:rsidR="0098408D" w:rsidRPr="00AE4314">
        <w:rPr>
          <w:lang w:val="it-IT"/>
        </w:rPr>
        <w:t xml:space="preserve"> è stato raggiunto al</w:t>
      </w:r>
      <w:r w:rsidR="0098408D">
        <w:rPr>
          <w:lang w:val="it-IT"/>
        </w:rPr>
        <w:t xml:space="preserve">l’analisi iniziale </w:t>
      </w:r>
      <w:r w:rsidR="0098408D">
        <w:rPr>
          <w:sz w:val="18"/>
          <w:szCs w:val="18"/>
          <w:lang w:val="it-IT"/>
        </w:rPr>
        <w:t>[</w:t>
      </w:r>
      <w:r w:rsidR="0098408D">
        <w:rPr>
          <w:lang w:val="it-IT"/>
        </w:rPr>
        <w:t>PFS mediana; 95% CI (19.3 mesi- non raggiunta) vs 14.7 mesi (13.0 vs</w:t>
      </w:r>
      <w:r w:rsidR="001872B9">
        <w:rPr>
          <w:lang w:val="it-IT"/>
        </w:rPr>
        <w:t xml:space="preserve"> </w:t>
      </w:r>
      <w:r w:rsidR="0098408D">
        <w:rPr>
          <w:lang w:val="it-IT"/>
        </w:rPr>
        <w:t xml:space="preserve">16.5 mesi); HR=0.556; p= </w:t>
      </w:r>
      <w:r w:rsidR="00956582" w:rsidRPr="00AE4314">
        <w:rPr>
          <w:lang w:val="it-IT"/>
        </w:rPr>
        <w:t>0.00000329]</w:t>
      </w:r>
      <w:r w:rsidR="00956582" w:rsidRPr="00AE4314">
        <w:rPr>
          <w:vertAlign w:val="superscript"/>
          <w:lang w:val="it-IT"/>
        </w:rPr>
        <w:t>5</w:t>
      </w:r>
      <w:r w:rsidR="00956582" w:rsidRPr="00AE4314">
        <w:rPr>
          <w:lang w:val="it-IT"/>
        </w:rPr>
        <w:t>.</w:t>
      </w:r>
      <w:r w:rsidR="00956582" w:rsidRPr="00AE4314">
        <w:rPr>
          <w:vertAlign w:val="superscript"/>
          <w:lang w:val="it-IT"/>
        </w:rPr>
        <w:t xml:space="preserve"> </w:t>
      </w:r>
    </w:p>
    <w:p w14:paraId="2FB138E3" w14:textId="24B82563" w:rsidR="00956582" w:rsidRPr="00AE4314" w:rsidRDefault="0098408D" w:rsidP="00D87E53">
      <w:pPr>
        <w:jc w:val="both"/>
        <w:rPr>
          <w:lang w:val="it-IT"/>
        </w:rPr>
      </w:pPr>
      <w:r w:rsidRPr="00AE4314">
        <w:rPr>
          <w:lang w:val="it-IT"/>
        </w:rPr>
        <w:t>Questi nuovi dati di s</w:t>
      </w:r>
      <w:r w:rsidR="00AE4314">
        <w:rPr>
          <w:lang w:val="it-IT"/>
        </w:rPr>
        <w:t>o</w:t>
      </w:r>
      <w:r w:rsidRPr="00AE4314">
        <w:rPr>
          <w:lang w:val="it-IT"/>
        </w:rPr>
        <w:t xml:space="preserve">pravvivenza rappresentano il terzo statisticamente </w:t>
      </w:r>
      <w:r>
        <w:rPr>
          <w:lang w:val="it-IT"/>
        </w:rPr>
        <w:t>significativo e clinic</w:t>
      </w:r>
      <w:r w:rsidR="00AE4314">
        <w:rPr>
          <w:lang w:val="it-IT"/>
        </w:rPr>
        <w:t>amente</w:t>
      </w:r>
      <w:r>
        <w:rPr>
          <w:lang w:val="it-IT"/>
        </w:rPr>
        <w:t xml:space="preserve"> rilevamente beneficio in sopravvivenza raggiunto da ribociclib nel programma di studio Monaleesa. </w:t>
      </w:r>
      <w:r w:rsidRPr="0098408D">
        <w:rPr>
          <w:lang w:val="it-IT"/>
        </w:rPr>
        <w:t>N</w:t>
      </w:r>
      <w:r w:rsidRPr="00AE4314">
        <w:rPr>
          <w:lang w:val="it-IT"/>
        </w:rPr>
        <w:t xml:space="preserve">ovartis sottometterà </w:t>
      </w:r>
      <w:r w:rsidR="00AE4314">
        <w:rPr>
          <w:lang w:val="it-IT"/>
        </w:rPr>
        <w:t>i</w:t>
      </w:r>
      <w:r w:rsidRPr="00AE4314">
        <w:rPr>
          <w:lang w:val="it-IT"/>
        </w:rPr>
        <w:t xml:space="preserve"> dati alle autorità regolatorie mondiali per aggiornare i dati</w:t>
      </w:r>
      <w:r>
        <w:rPr>
          <w:lang w:val="it-IT"/>
        </w:rPr>
        <w:t xml:space="preserve">. </w:t>
      </w:r>
    </w:p>
    <w:p w14:paraId="4EE94553" w14:textId="77777777" w:rsidR="003853A2" w:rsidRPr="00AE4314" w:rsidRDefault="003853A2" w:rsidP="00F7268A">
      <w:pPr>
        <w:jc w:val="both"/>
        <w:rPr>
          <w:lang w:val="it-IT"/>
        </w:rPr>
      </w:pPr>
    </w:p>
    <w:p w14:paraId="6615633B" w14:textId="2C49CAE3" w:rsidR="00FA12CC" w:rsidRPr="00FB77EB" w:rsidRDefault="00BE10E0" w:rsidP="00F7268A">
      <w:pPr>
        <w:jc w:val="both"/>
        <w:rPr>
          <w:lang w:val="it-IT"/>
        </w:rPr>
      </w:pPr>
      <w:r w:rsidRPr="00FB77EB">
        <w:rPr>
          <w:lang w:val="it-IT"/>
        </w:rPr>
        <w:t>Per informazioni aggiornate su Nov</w:t>
      </w:r>
      <w:r w:rsidR="00FF168B" w:rsidRPr="00FB77EB">
        <w:rPr>
          <w:lang w:val="it-IT"/>
        </w:rPr>
        <w:t>a</w:t>
      </w:r>
      <w:r w:rsidRPr="00FB77EB">
        <w:rPr>
          <w:lang w:val="it-IT"/>
        </w:rPr>
        <w:t>rtis, compreso il nostro impegno nella comunità oncologica, consulta</w:t>
      </w:r>
      <w:r w:rsidR="00982198">
        <w:rPr>
          <w:lang w:val="it-IT"/>
        </w:rPr>
        <w:t xml:space="preserve"> </w:t>
      </w:r>
      <w:hyperlink r:id="rId11" w:history="1">
        <w:r w:rsidR="00982198" w:rsidRPr="00AE4314">
          <w:rPr>
            <w:rStyle w:val="Collegamentoipertestuale"/>
            <w:lang w:val="it-IT"/>
          </w:rPr>
          <w:t>https://www.hcp.novartis.com/virtual-congress/esmo-2021/</w:t>
        </w:r>
      </w:hyperlink>
      <w:r w:rsidR="00982198" w:rsidRPr="00AE4314">
        <w:rPr>
          <w:lang w:val="it-IT"/>
        </w:rPr>
        <w:t xml:space="preserve"> </w:t>
      </w:r>
      <w:r w:rsidR="00FA12CC" w:rsidRPr="00FB77EB">
        <w:rPr>
          <w:lang w:val="it-IT"/>
        </w:rPr>
        <w:t xml:space="preserve"> </w:t>
      </w:r>
      <w:r w:rsidRPr="00FB77EB">
        <w:rPr>
          <w:lang w:val="it-IT"/>
        </w:rPr>
        <w:t xml:space="preserve">e accedi alle nostre presentazioni dei dati nel Corso del programma scientifico virtuale di </w:t>
      </w:r>
      <w:r w:rsidR="00FA12CC" w:rsidRPr="00FB77EB">
        <w:rPr>
          <w:lang w:val="it-IT"/>
        </w:rPr>
        <w:t>ESMO</w:t>
      </w:r>
      <w:r w:rsidRPr="00FB77EB">
        <w:rPr>
          <w:lang w:val="it-IT"/>
        </w:rPr>
        <w:t xml:space="preserve"> </w:t>
      </w:r>
      <w:r w:rsidR="00FA12CC" w:rsidRPr="00FB77EB">
        <w:rPr>
          <w:lang w:val="it-IT"/>
        </w:rPr>
        <w:t>2021 (</w:t>
      </w:r>
      <w:r w:rsidRPr="00FB77EB">
        <w:rPr>
          <w:lang w:val="it-IT"/>
        </w:rPr>
        <w:t>riservato ai partecipanti iscritti</w:t>
      </w:r>
      <w:r w:rsidR="00FA12CC" w:rsidRPr="00FB77EB">
        <w:rPr>
          <w:lang w:val="it-IT"/>
        </w:rPr>
        <w:t>).</w:t>
      </w:r>
    </w:p>
    <w:p w14:paraId="5D8CC5B8" w14:textId="77777777" w:rsidR="00FA12CC" w:rsidRPr="00FB77EB" w:rsidRDefault="00FA12CC" w:rsidP="00F7268A">
      <w:pPr>
        <w:jc w:val="both"/>
        <w:rPr>
          <w:b/>
          <w:lang w:val="it-IT"/>
        </w:rPr>
      </w:pPr>
    </w:p>
    <w:p w14:paraId="764ABDF8" w14:textId="3F51FB85" w:rsidR="00BE10E0" w:rsidRPr="00AE4314" w:rsidRDefault="00BE10E0" w:rsidP="00F7268A">
      <w:pPr>
        <w:jc w:val="both"/>
        <w:rPr>
          <w:b/>
          <w:lang w:val="it-IT"/>
        </w:rPr>
      </w:pPr>
      <w:r w:rsidRPr="00AE4314">
        <w:rPr>
          <w:b/>
          <w:lang w:val="it-IT"/>
        </w:rPr>
        <w:t>R</w:t>
      </w:r>
      <w:r w:rsidR="00F31088" w:rsidRPr="00AE4314">
        <w:rPr>
          <w:b/>
          <w:lang w:val="it-IT"/>
        </w:rPr>
        <w:t>ibociclib</w:t>
      </w:r>
    </w:p>
    <w:p w14:paraId="75BE2D82" w14:textId="3B63A97C" w:rsidR="00BE10E0" w:rsidRPr="00FB77EB" w:rsidRDefault="00BE10E0" w:rsidP="00F7268A">
      <w:pPr>
        <w:jc w:val="both"/>
        <w:rPr>
          <w:bCs/>
          <w:color w:val="FF0000"/>
          <w:lang w:val="it-IT"/>
        </w:rPr>
      </w:pPr>
      <w:r w:rsidRPr="00FB77EB">
        <w:rPr>
          <w:bCs/>
          <w:lang w:val="it-IT"/>
        </w:rPr>
        <w:lastRenderedPageBreak/>
        <w:t>Ribociclib è l’inibitore CDK4/6 con la più vasta gamma di evidenze da studi clinici che dimostrano</w:t>
      </w:r>
      <w:r w:rsidR="000C3E35" w:rsidRPr="00FB77EB">
        <w:rPr>
          <w:bCs/>
          <w:lang w:val="it-IT"/>
        </w:rPr>
        <w:t xml:space="preserve"> un</w:t>
      </w:r>
      <w:r w:rsidRPr="00FB77EB">
        <w:rPr>
          <w:bCs/>
          <w:lang w:val="it-IT"/>
        </w:rPr>
        <w:t xml:space="preserve"> beneficio di sopravvivenza globale coerente e superiore rispetto alla </w:t>
      </w:r>
      <w:r w:rsidR="00C221DE" w:rsidRPr="00FB77EB">
        <w:rPr>
          <w:bCs/>
          <w:lang w:val="it-IT"/>
        </w:rPr>
        <w:t xml:space="preserve">sola </w:t>
      </w:r>
      <w:r w:rsidRPr="00FB77EB">
        <w:rPr>
          <w:bCs/>
          <w:lang w:val="it-IT"/>
        </w:rPr>
        <w:t>terapia endocrina</w:t>
      </w:r>
      <w:r w:rsidR="00C221DE" w:rsidRPr="00FB77EB">
        <w:rPr>
          <w:bCs/>
          <w:lang w:val="it-IT"/>
        </w:rPr>
        <w:t>.</w:t>
      </w:r>
      <w:r w:rsidRPr="00FB77EB">
        <w:rPr>
          <w:bCs/>
          <w:lang w:val="it-IT"/>
        </w:rPr>
        <w:t xml:space="preserve"> I risultati di sopravvivenza globale de</w:t>
      </w:r>
      <w:r w:rsidR="00C221DE" w:rsidRPr="00FB77EB">
        <w:rPr>
          <w:bCs/>
          <w:lang w:val="it-IT"/>
        </w:rPr>
        <w:t>gli</w:t>
      </w:r>
      <w:r w:rsidRPr="00FB77EB">
        <w:rPr>
          <w:bCs/>
          <w:lang w:val="it-IT"/>
        </w:rPr>
        <w:t xml:space="preserve"> studi MONALEESA-7 </w:t>
      </w:r>
      <w:r w:rsidR="00C221DE" w:rsidRPr="00FB77EB">
        <w:rPr>
          <w:bCs/>
          <w:lang w:val="it-IT"/>
        </w:rPr>
        <w:t xml:space="preserve">e MONALEESA-3 </w:t>
      </w:r>
      <w:r w:rsidRPr="00FB77EB">
        <w:rPr>
          <w:bCs/>
          <w:lang w:val="it-IT"/>
        </w:rPr>
        <w:t>sono stati presentati a</w:t>
      </w:r>
      <w:r w:rsidR="000C3E35" w:rsidRPr="00FB77EB">
        <w:rPr>
          <w:bCs/>
          <w:lang w:val="it-IT"/>
        </w:rPr>
        <w:t xml:space="preserve">i Congressi </w:t>
      </w:r>
      <w:r w:rsidRPr="00FB77EB">
        <w:rPr>
          <w:bCs/>
          <w:lang w:val="it-IT"/>
        </w:rPr>
        <w:t>ASCO 2019</w:t>
      </w:r>
      <w:r w:rsidR="00C221DE" w:rsidRPr="00FB77EB">
        <w:rPr>
          <w:bCs/>
          <w:lang w:val="it-IT"/>
        </w:rPr>
        <w:t xml:space="preserve"> e</w:t>
      </w:r>
      <w:r w:rsidR="000C3E35" w:rsidRPr="00FB77EB">
        <w:rPr>
          <w:bCs/>
          <w:lang w:val="it-IT"/>
        </w:rPr>
        <w:t xml:space="preserve">d </w:t>
      </w:r>
      <w:r w:rsidR="00C221DE" w:rsidRPr="00FB77EB">
        <w:rPr>
          <w:bCs/>
          <w:lang w:val="it-IT"/>
        </w:rPr>
        <w:t>ESMO 2019, rispettivamente</w:t>
      </w:r>
      <w:r w:rsidRPr="00FB77EB">
        <w:rPr>
          <w:bCs/>
          <w:lang w:val="it-IT"/>
        </w:rPr>
        <w:t xml:space="preserve">, </w:t>
      </w:r>
      <w:r w:rsidR="00C221DE" w:rsidRPr="00FB77EB">
        <w:rPr>
          <w:bCs/>
          <w:lang w:val="it-IT"/>
        </w:rPr>
        <w:t>e un aggiornamento delle analisi esplorati</w:t>
      </w:r>
      <w:r w:rsidR="007D6B0E" w:rsidRPr="00FB77EB">
        <w:rPr>
          <w:bCs/>
          <w:lang w:val="it-IT"/>
        </w:rPr>
        <w:t>v</w:t>
      </w:r>
      <w:r w:rsidR="00C221DE" w:rsidRPr="00FB77EB">
        <w:rPr>
          <w:bCs/>
          <w:lang w:val="it-IT"/>
        </w:rPr>
        <w:t>e è stato presentato a</w:t>
      </w:r>
      <w:r w:rsidR="000C3E35" w:rsidRPr="00FB77EB">
        <w:rPr>
          <w:bCs/>
          <w:lang w:val="it-IT"/>
        </w:rPr>
        <w:t>i Congressi</w:t>
      </w:r>
      <w:r w:rsidR="00C221DE" w:rsidRPr="00FB77EB">
        <w:rPr>
          <w:bCs/>
          <w:lang w:val="it-IT"/>
        </w:rPr>
        <w:t xml:space="preserve"> SABCS 2020 e ASCO 2021,</w:t>
      </w:r>
      <w:r w:rsidR="00C122C2">
        <w:rPr>
          <w:bCs/>
          <w:lang w:val="it-IT"/>
        </w:rPr>
        <w:t xml:space="preserve"> </w:t>
      </w:r>
      <w:r w:rsidR="00C221DE" w:rsidRPr="00FB77EB">
        <w:rPr>
          <w:bCs/>
          <w:lang w:val="it-IT"/>
        </w:rPr>
        <w:t xml:space="preserve">dimostrando che </w:t>
      </w:r>
      <w:r w:rsidRPr="00FB77EB">
        <w:rPr>
          <w:bCs/>
          <w:lang w:val="it-IT"/>
        </w:rPr>
        <w:t>ribociclib in combinazione con la terapia endocrina prolunga significativamente la vita n</w:t>
      </w:r>
      <w:r w:rsidR="007D6B0E" w:rsidRPr="00FB77EB">
        <w:rPr>
          <w:bCs/>
          <w:lang w:val="it-IT"/>
        </w:rPr>
        <w:t>elle</w:t>
      </w:r>
      <w:r w:rsidRPr="00FB77EB">
        <w:rPr>
          <w:bCs/>
          <w:lang w:val="it-IT"/>
        </w:rPr>
        <w:t xml:space="preserve"> donne in pre</w:t>
      </w:r>
      <w:r w:rsidR="000C3E35" w:rsidRPr="00FB77EB">
        <w:rPr>
          <w:bCs/>
          <w:lang w:val="it-IT"/>
        </w:rPr>
        <w:t>/</w:t>
      </w:r>
      <w:r w:rsidR="00C221DE" w:rsidRPr="00FB77EB">
        <w:rPr>
          <w:bCs/>
          <w:lang w:val="it-IT"/>
        </w:rPr>
        <w:t xml:space="preserve">peri o postmenopausa </w:t>
      </w:r>
      <w:r w:rsidRPr="00FB77EB">
        <w:rPr>
          <w:bCs/>
          <w:lang w:val="it-IT"/>
        </w:rPr>
        <w:t>con tumore mammario HR+/HER2- avanzato.</w:t>
      </w:r>
      <w:r w:rsidR="00982198" w:rsidRPr="00AE4314">
        <w:rPr>
          <w:bCs/>
          <w:vertAlign w:val="superscript"/>
          <w:lang w:val="it-IT"/>
        </w:rPr>
        <w:t>3,4,6,7</w:t>
      </w:r>
    </w:p>
    <w:p w14:paraId="1BE4C37F" w14:textId="77777777" w:rsidR="00BE10E0" w:rsidRPr="00FB77EB" w:rsidRDefault="00BE10E0" w:rsidP="00F7268A">
      <w:pPr>
        <w:jc w:val="both"/>
        <w:rPr>
          <w:bCs/>
          <w:lang w:val="it-IT"/>
        </w:rPr>
      </w:pPr>
    </w:p>
    <w:p w14:paraId="322CAEF0" w14:textId="68AE02C5" w:rsidR="00BE10E0" w:rsidRPr="00AE4314" w:rsidRDefault="00BE10E0" w:rsidP="00F7268A">
      <w:pPr>
        <w:jc w:val="both"/>
        <w:rPr>
          <w:bCs/>
          <w:color w:val="FF0000"/>
          <w:lang w:val="it-IT"/>
        </w:rPr>
      </w:pPr>
      <w:r w:rsidRPr="00FB77EB">
        <w:rPr>
          <w:bCs/>
          <w:lang w:val="it-IT"/>
        </w:rPr>
        <w:t>Ribociclib è approvato</w:t>
      </w:r>
      <w:r w:rsidR="00C221DE" w:rsidRPr="00FB77EB">
        <w:rPr>
          <w:lang w:val="it-IT"/>
        </w:rPr>
        <w:t xml:space="preserve"> dalla </w:t>
      </w:r>
      <w:r w:rsidR="00C221DE" w:rsidRPr="00FB77EB">
        <w:rPr>
          <w:bCs/>
          <w:lang w:val="it-IT"/>
        </w:rPr>
        <w:t>Food and Drug Administration (FDA) americana e dalla Commissione Europea (EC)</w:t>
      </w:r>
      <w:r w:rsidRPr="00FB77EB">
        <w:rPr>
          <w:bCs/>
          <w:lang w:val="it-IT"/>
        </w:rPr>
        <w:t xml:space="preserve">, come terapia endocrina </w:t>
      </w:r>
      <w:r w:rsidR="00D055BB" w:rsidRPr="00FB77EB">
        <w:rPr>
          <w:bCs/>
          <w:lang w:val="it-IT"/>
        </w:rPr>
        <w:t xml:space="preserve">iniziale </w:t>
      </w:r>
      <w:r w:rsidRPr="00FB77EB">
        <w:rPr>
          <w:bCs/>
          <w:lang w:val="it-IT"/>
        </w:rPr>
        <w:t>in donne in postmenopausa con tumore mammario localmente avanzato o metastatico HR+/HER2</w:t>
      </w:r>
      <w:r w:rsidR="00C122C2">
        <w:rPr>
          <w:bCs/>
          <w:lang w:val="it-IT"/>
        </w:rPr>
        <w:t>-</w:t>
      </w:r>
      <w:r w:rsidRPr="00FB77EB">
        <w:rPr>
          <w:bCs/>
          <w:lang w:val="it-IT"/>
        </w:rPr>
        <w:t xml:space="preserve"> in combinazione con un inibitore dell’aromatasi</w:t>
      </w:r>
      <w:r w:rsidR="00D055BB" w:rsidRPr="00FB77EB">
        <w:rPr>
          <w:bCs/>
          <w:lang w:val="it-IT"/>
        </w:rPr>
        <w:t>,</w:t>
      </w:r>
      <w:r w:rsidRPr="00FB77EB">
        <w:rPr>
          <w:bCs/>
          <w:lang w:val="it-IT"/>
        </w:rPr>
        <w:t xml:space="preserve"> sulla base dei risultati </w:t>
      </w:r>
      <w:r w:rsidR="00D055BB" w:rsidRPr="00FB77EB">
        <w:rPr>
          <w:bCs/>
          <w:lang w:val="it-IT"/>
        </w:rPr>
        <w:t>dello studi</w:t>
      </w:r>
      <w:r w:rsidRPr="00FB77EB">
        <w:rPr>
          <w:bCs/>
          <w:lang w:val="it-IT"/>
        </w:rPr>
        <w:t>o MONALEESA-2. Ribociclib in combinazione con un inibitore dell’aromatasi</w:t>
      </w:r>
      <w:r w:rsidR="00D055BB" w:rsidRPr="00FB77EB">
        <w:rPr>
          <w:bCs/>
          <w:lang w:val="it-IT"/>
        </w:rPr>
        <w:t xml:space="preserve"> </w:t>
      </w:r>
      <w:r w:rsidRPr="00FB77EB">
        <w:rPr>
          <w:bCs/>
          <w:lang w:val="it-IT"/>
        </w:rPr>
        <w:t>è approvato per il trattamento d</w:t>
      </w:r>
      <w:r w:rsidR="007D6B0E" w:rsidRPr="00FB77EB">
        <w:rPr>
          <w:bCs/>
          <w:lang w:val="it-IT"/>
        </w:rPr>
        <w:t>elle</w:t>
      </w:r>
      <w:r w:rsidRPr="00FB77EB">
        <w:rPr>
          <w:bCs/>
          <w:lang w:val="it-IT"/>
        </w:rPr>
        <w:t xml:space="preserve"> donne in pre</w:t>
      </w:r>
      <w:r w:rsidR="00945F0B" w:rsidRPr="00FB77EB">
        <w:rPr>
          <w:bCs/>
          <w:lang w:val="it-IT"/>
        </w:rPr>
        <w:t>/</w:t>
      </w:r>
      <w:r w:rsidRPr="00FB77EB">
        <w:rPr>
          <w:bCs/>
          <w:lang w:val="it-IT"/>
        </w:rPr>
        <w:t>peri o postmenopausa come terapia endocrina iniziale ed è anche indicato per l’utilizzo in combinazione con fulvestrant</w:t>
      </w:r>
      <w:r w:rsidR="00D055BB" w:rsidRPr="00FB77EB">
        <w:rPr>
          <w:bCs/>
          <w:lang w:val="it-IT"/>
        </w:rPr>
        <w:t>,</w:t>
      </w:r>
      <w:r w:rsidRPr="00FB77EB">
        <w:rPr>
          <w:bCs/>
          <w:lang w:val="it-IT"/>
        </w:rPr>
        <w:t xml:space="preserve"> </w:t>
      </w:r>
      <w:r w:rsidR="00D055BB" w:rsidRPr="00FB77EB">
        <w:rPr>
          <w:bCs/>
          <w:lang w:val="it-IT"/>
        </w:rPr>
        <w:t xml:space="preserve">come trattamento </w:t>
      </w:r>
      <w:r w:rsidRPr="00FB77EB">
        <w:rPr>
          <w:bCs/>
          <w:lang w:val="it-IT"/>
        </w:rPr>
        <w:t>sia in prima che in seconda linea</w:t>
      </w:r>
      <w:r w:rsidR="00D055BB" w:rsidRPr="00FB77EB">
        <w:rPr>
          <w:bCs/>
          <w:lang w:val="it-IT"/>
        </w:rPr>
        <w:t>,</w:t>
      </w:r>
      <w:r w:rsidRPr="00FB77EB">
        <w:rPr>
          <w:bCs/>
          <w:lang w:val="it-IT"/>
        </w:rPr>
        <w:t xml:space="preserve"> n</w:t>
      </w:r>
      <w:r w:rsidR="007D6B0E" w:rsidRPr="00FB77EB">
        <w:rPr>
          <w:bCs/>
          <w:lang w:val="it-IT"/>
        </w:rPr>
        <w:t>elle</w:t>
      </w:r>
      <w:r w:rsidRPr="00FB77EB">
        <w:rPr>
          <w:bCs/>
          <w:lang w:val="it-IT"/>
        </w:rPr>
        <w:t xml:space="preserve"> donne in post-menopausa dalla FDA e dalla Commissione Europea.</w:t>
      </w:r>
      <w:r w:rsidR="00D055BB" w:rsidRPr="00FB77EB">
        <w:rPr>
          <w:bCs/>
          <w:lang w:val="it-IT"/>
        </w:rPr>
        <w:t xml:space="preserve"> </w:t>
      </w:r>
      <w:r w:rsidR="00D055BB" w:rsidRPr="00AE4314">
        <w:rPr>
          <w:bCs/>
          <w:lang w:val="it-IT"/>
        </w:rPr>
        <w:t>Ribociclib è approvato in più di 95 Paesi</w:t>
      </w:r>
      <w:r w:rsidR="00982198" w:rsidRPr="00AE4314">
        <w:rPr>
          <w:bCs/>
          <w:vertAlign w:val="superscript"/>
          <w:lang w:val="it-IT"/>
        </w:rPr>
        <w:t>1</w:t>
      </w:r>
      <w:r w:rsidR="00D055BB" w:rsidRPr="00AE4314">
        <w:rPr>
          <w:bCs/>
          <w:lang w:val="it-IT"/>
        </w:rPr>
        <w:t>.</w:t>
      </w:r>
    </w:p>
    <w:p w14:paraId="773FF1D2" w14:textId="77777777" w:rsidR="00BE10E0" w:rsidRPr="00AE4314" w:rsidRDefault="00BE10E0" w:rsidP="00F7268A">
      <w:pPr>
        <w:jc w:val="both"/>
        <w:rPr>
          <w:bCs/>
          <w:color w:val="FF0000"/>
          <w:lang w:val="it-IT"/>
        </w:rPr>
      </w:pPr>
    </w:p>
    <w:p w14:paraId="6B2CEDD0" w14:textId="6CAAAA07" w:rsidR="00BE10E0" w:rsidRPr="00FB77EB" w:rsidRDefault="00BE10E0" w:rsidP="00F7268A">
      <w:pPr>
        <w:jc w:val="both"/>
        <w:rPr>
          <w:bCs/>
          <w:lang w:val="it-IT"/>
        </w:rPr>
      </w:pPr>
      <w:r w:rsidRPr="00FB77EB">
        <w:rPr>
          <w:bCs/>
          <w:lang w:val="it-IT"/>
        </w:rPr>
        <w:t xml:space="preserve">Novartis continua a re-immaginare la cura del cancro </w:t>
      </w:r>
      <w:r w:rsidR="00982198">
        <w:rPr>
          <w:bCs/>
          <w:lang w:val="it-IT"/>
        </w:rPr>
        <w:t xml:space="preserve">con ulteriori studi con </w:t>
      </w:r>
      <w:r w:rsidRPr="00FB77EB">
        <w:rPr>
          <w:bCs/>
          <w:lang w:val="it-IT"/>
        </w:rPr>
        <w:t>ribociclib</w:t>
      </w:r>
      <w:r w:rsidR="00982198">
        <w:rPr>
          <w:bCs/>
          <w:lang w:val="it-IT"/>
        </w:rPr>
        <w:t xml:space="preserve">. </w:t>
      </w:r>
      <w:r w:rsidRPr="00FB77EB">
        <w:rPr>
          <w:bCs/>
          <w:lang w:val="it-IT"/>
        </w:rPr>
        <w:t xml:space="preserve">Lo studio clinico di fase III NATALEE </w:t>
      </w:r>
      <w:r w:rsidR="00982198">
        <w:rPr>
          <w:bCs/>
          <w:lang w:val="it-IT"/>
        </w:rPr>
        <w:t xml:space="preserve">è un ampio studio clinico confirmatorio che </w:t>
      </w:r>
      <w:r w:rsidRPr="00FB77EB">
        <w:rPr>
          <w:bCs/>
          <w:lang w:val="it-IT"/>
        </w:rPr>
        <w:t xml:space="preserve">valuta ribociclib in combinazione con la terapia endocrina nel trattamento adiuvante del tumore mammario </w:t>
      </w:r>
      <w:r w:rsidR="00C122C2">
        <w:rPr>
          <w:bCs/>
          <w:lang w:val="it-IT"/>
        </w:rPr>
        <w:t>in fase precoce</w:t>
      </w:r>
      <w:r w:rsidR="00C122C2" w:rsidRPr="00FB77EB">
        <w:rPr>
          <w:bCs/>
          <w:lang w:val="it-IT"/>
        </w:rPr>
        <w:t xml:space="preserve"> </w:t>
      </w:r>
      <w:r w:rsidRPr="00FB77EB">
        <w:rPr>
          <w:bCs/>
          <w:lang w:val="it-IT"/>
        </w:rPr>
        <w:t>HR+/HER2- in collaborazione con Translational Research In Oncology (TRIO)</w:t>
      </w:r>
      <w:r w:rsidR="00982198" w:rsidRPr="00AE4314">
        <w:rPr>
          <w:bCs/>
          <w:vertAlign w:val="superscript"/>
          <w:lang w:val="it-IT"/>
        </w:rPr>
        <w:t>10</w:t>
      </w:r>
      <w:r w:rsidRPr="00FB77EB">
        <w:rPr>
          <w:bCs/>
          <w:lang w:val="it-IT"/>
        </w:rPr>
        <w:t>.</w:t>
      </w:r>
    </w:p>
    <w:p w14:paraId="2F077B14" w14:textId="70FE1C1A" w:rsidR="00877C30" w:rsidRPr="00FB77EB" w:rsidRDefault="00982198" w:rsidP="00F7268A">
      <w:pPr>
        <w:jc w:val="both"/>
        <w:rPr>
          <w:bCs/>
          <w:lang w:val="it-IT"/>
        </w:rPr>
      </w:pPr>
      <w:r>
        <w:rPr>
          <w:bCs/>
          <w:lang w:val="it-IT"/>
        </w:rPr>
        <w:t xml:space="preserve">Novartis sta anche collaborando con SOLTI, che sta guidando lo studio clinico di fase III </w:t>
      </w:r>
      <w:r w:rsidR="00877C30" w:rsidRPr="00FB77EB">
        <w:rPr>
          <w:bCs/>
          <w:lang w:val="it-IT"/>
        </w:rPr>
        <w:t>HARMONIA</w:t>
      </w:r>
      <w:r>
        <w:rPr>
          <w:bCs/>
          <w:lang w:val="it-IT"/>
        </w:rPr>
        <w:t>, che confronterà</w:t>
      </w:r>
      <w:r w:rsidR="00BA0F0C">
        <w:rPr>
          <w:bCs/>
          <w:lang w:val="it-IT"/>
        </w:rPr>
        <w:t xml:space="preserve"> </w:t>
      </w:r>
      <w:r w:rsidR="00877C30" w:rsidRPr="00FB77EB">
        <w:rPr>
          <w:bCs/>
          <w:lang w:val="it-IT"/>
        </w:rPr>
        <w:t xml:space="preserve">ribociclib </w:t>
      </w:r>
      <w:r>
        <w:rPr>
          <w:bCs/>
          <w:lang w:val="it-IT"/>
        </w:rPr>
        <w:t xml:space="preserve">a </w:t>
      </w:r>
      <w:r w:rsidR="00877C30" w:rsidRPr="00FB77EB">
        <w:rPr>
          <w:bCs/>
          <w:lang w:val="it-IT"/>
        </w:rPr>
        <w:t>palbociclib</w:t>
      </w:r>
      <w:r w:rsidR="00F65867">
        <w:rPr>
          <w:bCs/>
          <w:lang w:val="it-IT"/>
        </w:rPr>
        <w:t xml:space="preserve"> </w:t>
      </w:r>
      <w:r w:rsidR="00877C30" w:rsidRPr="00FB77EB">
        <w:rPr>
          <w:bCs/>
          <w:lang w:val="it-IT"/>
        </w:rPr>
        <w:t xml:space="preserve"> per identificare i</w:t>
      </w:r>
      <w:r w:rsidR="00F65867">
        <w:rPr>
          <w:bCs/>
          <w:lang w:val="it-IT"/>
        </w:rPr>
        <w:t>l</w:t>
      </w:r>
      <w:r w:rsidR="00877C30" w:rsidRPr="00FB77EB">
        <w:rPr>
          <w:bCs/>
          <w:lang w:val="it-IT"/>
        </w:rPr>
        <w:t xml:space="preserve"> miglior</w:t>
      </w:r>
      <w:r w:rsidR="00F65867">
        <w:rPr>
          <w:bCs/>
          <w:lang w:val="it-IT"/>
        </w:rPr>
        <w:t>e</w:t>
      </w:r>
      <w:r w:rsidR="00877C30" w:rsidRPr="00FB77EB">
        <w:rPr>
          <w:bCs/>
          <w:lang w:val="it-IT"/>
        </w:rPr>
        <w:t xml:space="preserve"> inibitor</w:t>
      </w:r>
      <w:r w:rsidR="00F65867">
        <w:rPr>
          <w:bCs/>
          <w:lang w:val="it-IT"/>
        </w:rPr>
        <w:t>e</w:t>
      </w:r>
      <w:r w:rsidR="00877C30" w:rsidRPr="00FB77EB">
        <w:rPr>
          <w:bCs/>
          <w:lang w:val="it-IT"/>
        </w:rPr>
        <w:t xml:space="preserve"> CDK4/6 n</w:t>
      </w:r>
      <w:r w:rsidR="007D6B0E" w:rsidRPr="00FB77EB">
        <w:rPr>
          <w:bCs/>
          <w:lang w:val="it-IT"/>
        </w:rPr>
        <w:t>elle</w:t>
      </w:r>
      <w:r w:rsidR="00877C30" w:rsidRPr="00FB77EB">
        <w:rPr>
          <w:bCs/>
          <w:lang w:val="it-IT"/>
        </w:rPr>
        <w:t xml:space="preserve"> pa</w:t>
      </w:r>
      <w:r w:rsidR="000C42B2" w:rsidRPr="00FB77EB">
        <w:rPr>
          <w:bCs/>
          <w:lang w:val="it-IT"/>
        </w:rPr>
        <w:t xml:space="preserve">zienti con tumore della mammella </w:t>
      </w:r>
      <w:r w:rsidR="00877C30" w:rsidRPr="00FB77EB">
        <w:rPr>
          <w:bCs/>
          <w:lang w:val="it-IT"/>
        </w:rPr>
        <w:t>HER2-E</w:t>
      </w:r>
      <w:r w:rsidR="002F5BFE">
        <w:rPr>
          <w:bCs/>
          <w:lang w:val="it-IT"/>
        </w:rPr>
        <w:t>nriched</w:t>
      </w:r>
      <w:r w:rsidRPr="00AE4314">
        <w:rPr>
          <w:bCs/>
          <w:vertAlign w:val="superscript"/>
          <w:lang w:val="it-IT"/>
        </w:rPr>
        <w:t>1</w:t>
      </w:r>
      <w:r w:rsidR="00877C30" w:rsidRPr="00FB77EB">
        <w:rPr>
          <w:bCs/>
          <w:lang w:val="it-IT"/>
        </w:rPr>
        <w:t>.</w:t>
      </w:r>
    </w:p>
    <w:p w14:paraId="35AC2D63" w14:textId="77777777" w:rsidR="00BE10E0" w:rsidRPr="00FB77EB" w:rsidRDefault="00BE10E0" w:rsidP="00F7268A">
      <w:pPr>
        <w:jc w:val="both"/>
        <w:rPr>
          <w:bCs/>
          <w:lang w:val="it-IT"/>
        </w:rPr>
      </w:pPr>
    </w:p>
    <w:p w14:paraId="7D7D5688" w14:textId="29560D4D" w:rsidR="00BE10E0" w:rsidRPr="00FB77EB" w:rsidRDefault="00BE10E0" w:rsidP="00F7268A">
      <w:pPr>
        <w:jc w:val="both"/>
        <w:rPr>
          <w:b/>
          <w:lang w:val="it-IT"/>
        </w:rPr>
      </w:pPr>
      <w:r w:rsidRPr="00FB77EB">
        <w:rPr>
          <w:bCs/>
          <w:lang w:val="it-IT"/>
        </w:rPr>
        <w:t>Ribociclib è stato sviluppato da Novartis Institutes for BioMedical Research (NIBR) nell’ambito di una collaborazione di ricerca con Astex Pharmaceuticals</w:t>
      </w:r>
      <w:r w:rsidRPr="00FB77EB">
        <w:rPr>
          <w:b/>
          <w:lang w:val="it-IT"/>
        </w:rPr>
        <w:t>.</w:t>
      </w:r>
    </w:p>
    <w:p w14:paraId="3F145E0E" w14:textId="77777777" w:rsidR="00BE10E0" w:rsidRPr="00FB77EB" w:rsidRDefault="00BE10E0" w:rsidP="00F7268A">
      <w:pPr>
        <w:jc w:val="both"/>
        <w:rPr>
          <w:lang w:val="it-IT"/>
        </w:rPr>
      </w:pPr>
    </w:p>
    <w:p w14:paraId="173C54CF" w14:textId="77777777" w:rsidR="0025337E" w:rsidRPr="00FB77EB" w:rsidRDefault="0025337E" w:rsidP="00F7268A">
      <w:pPr>
        <w:jc w:val="both"/>
        <w:rPr>
          <w:lang w:val="it-IT"/>
        </w:rPr>
      </w:pPr>
    </w:p>
    <w:p w14:paraId="2DD6DA25" w14:textId="348C506E" w:rsidR="000C42B2" w:rsidRPr="00FB77EB" w:rsidRDefault="000C42B2" w:rsidP="00F7268A">
      <w:pPr>
        <w:jc w:val="both"/>
        <w:rPr>
          <w:b/>
          <w:bCs/>
          <w:lang w:val="it-IT"/>
        </w:rPr>
      </w:pPr>
      <w:r w:rsidRPr="00FB77EB">
        <w:rPr>
          <w:b/>
          <w:bCs/>
          <w:lang w:val="it-IT"/>
        </w:rPr>
        <w:t>Novartis e il tumore mammario avanzato</w:t>
      </w:r>
    </w:p>
    <w:p w14:paraId="54902A7A" w14:textId="00B43832" w:rsidR="000C42B2" w:rsidRPr="00FB77EB" w:rsidRDefault="00945F0B" w:rsidP="00F7268A">
      <w:pPr>
        <w:jc w:val="both"/>
        <w:rPr>
          <w:lang w:val="it-IT"/>
        </w:rPr>
      </w:pPr>
      <w:r w:rsidRPr="00E04DA2">
        <w:rPr>
          <w:rFonts w:asciiTheme="majorHAnsi" w:eastAsia="SimSun" w:hAnsiTheme="majorHAnsi" w:cstheme="majorHAnsi"/>
          <w:bCs/>
          <w:lang w:val="it-IT" w:eastAsia="zh-CN"/>
        </w:rPr>
        <w:t xml:space="preserve">L’approccio di Novartis al trattamento del tumore della mammella si basa sulla scienza, sulla collaborazione e sulla passione, con l’obiettivo di </w:t>
      </w:r>
      <w:r>
        <w:rPr>
          <w:rFonts w:asciiTheme="majorHAnsi" w:eastAsia="SimSun" w:hAnsiTheme="majorHAnsi" w:cstheme="majorHAnsi"/>
          <w:bCs/>
          <w:lang w:val="it-IT" w:eastAsia="zh-CN"/>
        </w:rPr>
        <w:t>trasformare</w:t>
      </w:r>
      <w:r w:rsidRPr="00E04DA2">
        <w:rPr>
          <w:rFonts w:asciiTheme="majorHAnsi" w:eastAsia="SimSun" w:hAnsiTheme="majorHAnsi" w:cstheme="majorHAnsi"/>
          <w:bCs/>
          <w:lang w:val="it-IT" w:eastAsia="zh-CN"/>
        </w:rPr>
        <w:t xml:space="preserve"> la cura delle pazienti. La nostra ricerca è caratterizzata da un approccio coraggioso perché include popolazioni di pazienti spesso ignorate negli studi clinici,</w:t>
      </w:r>
      <w:r w:rsidRPr="00FB77EB">
        <w:rPr>
          <w:lang w:val="it-IT"/>
        </w:rPr>
        <w:t xml:space="preserve"> </w:t>
      </w:r>
      <w:r w:rsidR="000C42B2" w:rsidRPr="00FB77EB">
        <w:rPr>
          <w:lang w:val="it-IT"/>
        </w:rPr>
        <w:t xml:space="preserve">identificando nuove vie o mutazioni che possono giocare un ruolo nella progressione della malattia e sviluppando terapie che non solo mantengono, ma migliorano anche la qualità di vita dei pazienti. La nostra priorità negli ultimi 30 anni, e ancora oggi, è </w:t>
      </w:r>
      <w:r w:rsidR="007D6B0E" w:rsidRPr="00FB77EB">
        <w:rPr>
          <w:lang w:val="it-IT"/>
        </w:rPr>
        <w:t>offrire</w:t>
      </w:r>
      <w:r w:rsidR="000C42B2" w:rsidRPr="00FB77EB">
        <w:rPr>
          <w:lang w:val="it-IT"/>
        </w:rPr>
        <w:t xml:space="preserve"> trattamenti che dimostrino di migliorare ed estendere la vita delle p</w:t>
      </w:r>
      <w:r w:rsidRPr="00FB77EB">
        <w:rPr>
          <w:lang w:val="it-IT"/>
        </w:rPr>
        <w:t>ersone</w:t>
      </w:r>
      <w:r w:rsidR="000C42B2" w:rsidRPr="00FB77EB">
        <w:rPr>
          <w:lang w:val="it-IT"/>
        </w:rPr>
        <w:t xml:space="preserve"> che ricevono la diagnosi di tumore avanzato della mammella</w:t>
      </w:r>
      <w:r w:rsidRPr="00FB77EB">
        <w:rPr>
          <w:lang w:val="it-IT"/>
        </w:rPr>
        <w:t xml:space="preserve">. </w:t>
      </w:r>
    </w:p>
    <w:p w14:paraId="4061B664" w14:textId="77777777" w:rsidR="000C42B2" w:rsidRPr="00FB77EB" w:rsidRDefault="000C42B2" w:rsidP="00F7268A">
      <w:pPr>
        <w:jc w:val="both"/>
        <w:rPr>
          <w:lang w:val="it-IT"/>
        </w:rPr>
      </w:pPr>
    </w:p>
    <w:p w14:paraId="7C79572D" w14:textId="0EC12DE9" w:rsidR="00F31088" w:rsidRPr="00FB77EB" w:rsidRDefault="00F31088" w:rsidP="00F7268A">
      <w:pPr>
        <w:jc w:val="both"/>
        <w:rPr>
          <w:b/>
          <w:lang w:val="it-IT"/>
        </w:rPr>
      </w:pPr>
    </w:p>
    <w:p w14:paraId="09E7FF48" w14:textId="77777777" w:rsidR="0048480F" w:rsidRPr="00FB77EB" w:rsidRDefault="0048480F" w:rsidP="00F7268A">
      <w:pPr>
        <w:jc w:val="both"/>
        <w:rPr>
          <w:b/>
          <w:lang w:val="it-IT"/>
        </w:rPr>
      </w:pPr>
      <w:r w:rsidRPr="00FB77EB">
        <w:rPr>
          <w:b/>
          <w:lang w:val="it-IT"/>
        </w:rPr>
        <w:t>Importanti informazioni di sicurezza dal Summary of Product Characteristics (SmPC) dell'Unione Europea per ribociclib</w:t>
      </w:r>
    </w:p>
    <w:p w14:paraId="240B0E46" w14:textId="6D1BDCB6" w:rsidR="0048480F" w:rsidRPr="00FB77EB" w:rsidRDefault="0048480F" w:rsidP="00F7268A">
      <w:pPr>
        <w:jc w:val="both"/>
        <w:rPr>
          <w:bCs/>
          <w:lang w:val="it-IT"/>
        </w:rPr>
      </w:pPr>
      <w:r w:rsidRPr="00FB77EB">
        <w:rPr>
          <w:bCs/>
          <w:lang w:val="it-IT"/>
        </w:rPr>
        <w:t>Ribociclib è un medicinale di prescrizione approvato in combinazione con un inibitore dell'aromatasi come terapia iniziale endocrina n</w:t>
      </w:r>
      <w:r w:rsidR="00EE7F7E" w:rsidRPr="00FB77EB">
        <w:rPr>
          <w:bCs/>
          <w:lang w:val="it-IT"/>
        </w:rPr>
        <w:t>elle</w:t>
      </w:r>
      <w:r w:rsidRPr="00FB77EB">
        <w:rPr>
          <w:bCs/>
          <w:lang w:val="it-IT"/>
        </w:rPr>
        <w:t xml:space="preserve"> donne con tumore della mammella avanzato o metastatico positivo per i recettori ormonali (HR) e negativo per il recettore 2 del fattore umano di crescita epidermica (HER) (HR+/HER2-) o con fulvestrant come terapia iniziale endocrina combinata o </w:t>
      </w:r>
      <w:r w:rsidR="00B63161" w:rsidRPr="00FB77EB">
        <w:rPr>
          <w:bCs/>
          <w:lang w:val="it-IT"/>
        </w:rPr>
        <w:t xml:space="preserve">a seguito di </w:t>
      </w:r>
      <w:r w:rsidRPr="00FB77EB">
        <w:rPr>
          <w:bCs/>
          <w:lang w:val="it-IT"/>
        </w:rPr>
        <w:t xml:space="preserve">progressione </w:t>
      </w:r>
      <w:r w:rsidR="00B63161" w:rsidRPr="00FB77EB">
        <w:rPr>
          <w:bCs/>
          <w:lang w:val="it-IT"/>
        </w:rPr>
        <w:t xml:space="preserve">di malattia </w:t>
      </w:r>
      <w:r w:rsidRPr="00FB77EB">
        <w:rPr>
          <w:bCs/>
          <w:lang w:val="it-IT"/>
        </w:rPr>
        <w:t>durante la terapia endocrina n</w:t>
      </w:r>
      <w:r w:rsidR="00B63161" w:rsidRPr="00FB77EB">
        <w:rPr>
          <w:bCs/>
          <w:lang w:val="it-IT"/>
        </w:rPr>
        <w:t>elle</w:t>
      </w:r>
      <w:r w:rsidRPr="00FB77EB">
        <w:rPr>
          <w:bCs/>
          <w:lang w:val="it-IT"/>
        </w:rPr>
        <w:t xml:space="preserve"> donne in post-menopausa con tumore mammario avanzato o metastatico positivo per i recettori ormonali e negativo per il recettore 2 del fattore umano di crescita epidermica (HR+/HER2-). Non è noto se ribociclib sia sicuro ed efficace n</w:t>
      </w:r>
      <w:r w:rsidR="003A61F7" w:rsidRPr="00FB77EB">
        <w:rPr>
          <w:bCs/>
          <w:lang w:val="it-IT"/>
        </w:rPr>
        <w:t>ei</w:t>
      </w:r>
      <w:r w:rsidRPr="00FB77EB">
        <w:rPr>
          <w:bCs/>
          <w:lang w:val="it-IT"/>
        </w:rPr>
        <w:t xml:space="preserve"> bambini o</w:t>
      </w:r>
      <w:r w:rsidR="003A61F7" w:rsidRPr="00FB77EB">
        <w:rPr>
          <w:bCs/>
          <w:lang w:val="it-IT"/>
        </w:rPr>
        <w:t xml:space="preserve"> negli </w:t>
      </w:r>
      <w:r w:rsidRPr="00FB77EB">
        <w:rPr>
          <w:bCs/>
          <w:lang w:val="it-IT"/>
        </w:rPr>
        <w:t xml:space="preserve"> adolescenti. Ribociclib può causare un problema cardiaco noto come prolungamento del tratto QT. Questa condizione patologica può generare un battito cardiaco anomalo e portare alla morte. Ribociclib non è indicato in concomitanza con tamoxifene per l'aumentato rischio di prolungamento del tratto QT. Le pazienti dovrebbero riferire immediatamente al personale sanitario se hanno notato una variazione del battito cardiaco (veloce o irregolare) o se hanno avuto vertigini o svenimenti. </w:t>
      </w:r>
      <w:r w:rsidRPr="00FB77EB">
        <w:rPr>
          <w:bCs/>
          <w:lang w:val="it-IT"/>
        </w:rPr>
        <w:lastRenderedPageBreak/>
        <w:t xml:space="preserve">Ribociclib può causare gravi problemi epatici. Le pazienti dovrebbero riferire immediatamente al personale sanitario se hanno osservato uno qualsiasi dei seguenti segni o sintomi, caratteristici dei disturbi epatici: ingiallimento della cute o della sclera oculare (ittero), colore delle urine scuro o bruno (colore del thé), sensazione di estrema stanchezza, </w:t>
      </w:r>
      <w:r w:rsidR="003A61F7" w:rsidRPr="00FB77EB">
        <w:rPr>
          <w:bCs/>
          <w:lang w:val="it-IT"/>
        </w:rPr>
        <w:t>p</w:t>
      </w:r>
      <w:r w:rsidRPr="00FB77EB">
        <w:rPr>
          <w:bCs/>
          <w:lang w:val="it-IT"/>
        </w:rPr>
        <w:t>erdita di appetit</w:t>
      </w:r>
      <w:r w:rsidR="003A61F7" w:rsidRPr="00FB77EB">
        <w:rPr>
          <w:bCs/>
          <w:lang w:val="it-IT"/>
        </w:rPr>
        <w:t>o</w:t>
      </w:r>
      <w:r w:rsidRPr="00FB77EB">
        <w:rPr>
          <w:bCs/>
          <w:lang w:val="it-IT"/>
        </w:rPr>
        <w:t xml:space="preserve">, dolore nella parte destra alta dello stomaco (addome) e sanguinamento o ematomi più frequenti del normale. Un basso numero di globuli bianchi è molto comune quando si assume ribociclib e può portare a infezioni anche gravi. Le pazienti dovrebbero riferire immediatamente al personale sanitario se hanno notato segni o sintomi riconducibili a un basso numero di globuli bianchi o a infezioni, come febbre e brividi. Prima di assumere ribociclib, le pazienti dovrebbero riferire al personale sanitario se sono in gravidanza, o ne pianificano una, perché ribociclib può causare danni al feto. Le donne fertili che assumono ribociclib dovrebbero utilizzare metodi anticoncezionali molto efficaci durante il trattamento e per almeno 3 settimane dopo l'ultima dose di farmaco. Non allattare durante la terapia con ribociclib e per almeno 3 settimane dopo l'ultima dose. Le pazienti dovrebbero riferire al personale sanitario quali terapie stanno assumendo, sia quelle su prescrizione medica che i farmaci da banco, oltre a vitamine e </w:t>
      </w:r>
      <w:r w:rsidR="005F5732" w:rsidRPr="00FB77EB">
        <w:rPr>
          <w:bCs/>
          <w:lang w:val="it-IT"/>
        </w:rPr>
        <w:t>integratori</w:t>
      </w:r>
      <w:r w:rsidRPr="00FB77EB">
        <w:rPr>
          <w:bCs/>
          <w:lang w:val="it-IT"/>
        </w:rPr>
        <w:t xml:space="preserve"> naturali a base di erbe, perché possono interagire con ribociclib. </w:t>
      </w:r>
      <w:r w:rsidR="001C4B0C" w:rsidRPr="00FB77EB">
        <w:rPr>
          <w:bCs/>
          <w:lang w:val="it-IT"/>
        </w:rPr>
        <w:t>L</w:t>
      </w:r>
      <w:r w:rsidRPr="00FB77EB">
        <w:rPr>
          <w:bCs/>
          <w:lang w:val="it-IT"/>
        </w:rPr>
        <w:t>e pazienti dovrebbero evitare di assumere pompelmo o succo di pompelmo durante la terapia con ribociclib. Gli effetti collaterali più frequenti (incidenza ≥ 20%) includono infezioni, ridotto numero di globuli bianchi, cefalea, tosse, nausea, stanchezza, diarrea, vomito, costipazione, perdita dei capelli e rash. Gli effetti collaterali più comuni di grado 3/4 (incidenza &gt; 5%) erano infezioni, basso numero di neutrofili, leucociti e globuli rossi, esami anomali di funzionalità epatica, basso numero di linfociti, bassi livelli di fosfato e vomito. Anormalità sono state osservate anche nei test ematologici e di laboratorio chimico-clinico.</w:t>
      </w:r>
    </w:p>
    <w:p w14:paraId="5101476E" w14:textId="77777777" w:rsidR="0048480F" w:rsidRPr="00FB77EB" w:rsidRDefault="0048480F" w:rsidP="00F7268A">
      <w:pPr>
        <w:jc w:val="both"/>
        <w:rPr>
          <w:b/>
          <w:lang w:val="it-IT"/>
        </w:rPr>
      </w:pPr>
    </w:p>
    <w:p w14:paraId="4B835330" w14:textId="5A4B52DE" w:rsidR="00F31088" w:rsidRPr="00FB77EB" w:rsidRDefault="00643297" w:rsidP="00F7268A">
      <w:pPr>
        <w:spacing w:line="240" w:lineRule="auto"/>
        <w:jc w:val="both"/>
        <w:rPr>
          <w:rFonts w:asciiTheme="majorHAnsi" w:eastAsia="SimSun" w:hAnsiTheme="majorHAnsi" w:cstheme="majorHAnsi"/>
          <w:bCs/>
          <w:lang w:val="it-IT" w:eastAsia="zh-CN"/>
        </w:rPr>
      </w:pPr>
      <w:r w:rsidRPr="00FB77EB">
        <w:rPr>
          <w:rFonts w:asciiTheme="majorHAnsi" w:eastAsia="SimSun" w:hAnsiTheme="majorHAnsi" w:cstheme="majorHAnsi"/>
          <w:bCs/>
          <w:lang w:val="it-IT" w:eastAsia="zh-CN"/>
        </w:rPr>
        <w:t>Per</w:t>
      </w:r>
      <w:r w:rsidR="001C4B0C" w:rsidRPr="00FB77EB">
        <w:rPr>
          <w:rFonts w:asciiTheme="majorHAnsi" w:eastAsia="SimSun" w:hAnsiTheme="majorHAnsi" w:cstheme="majorHAnsi"/>
          <w:bCs/>
          <w:lang w:val="it-IT" w:eastAsia="zh-CN"/>
        </w:rPr>
        <w:t xml:space="preserve"> consultare le informazioni complete sulla prescrizione di ribociclib </w:t>
      </w:r>
      <w:hyperlink r:id="rId12" w:history="1">
        <w:r w:rsidR="00F31088" w:rsidRPr="00FB77EB">
          <w:rPr>
            <w:rStyle w:val="Collegamentoipertestuale"/>
            <w:rFonts w:asciiTheme="majorHAnsi" w:eastAsia="SimSun" w:hAnsiTheme="majorHAnsi" w:cstheme="majorHAnsi"/>
            <w:bCs/>
            <w:lang w:val="it-IT" w:eastAsia="zh-CN"/>
          </w:rPr>
          <w:t>www.Kisqali.com</w:t>
        </w:r>
      </w:hyperlink>
      <w:r w:rsidR="00F31088" w:rsidRPr="00FB77EB">
        <w:rPr>
          <w:rFonts w:asciiTheme="majorHAnsi" w:eastAsia="SimSun" w:hAnsiTheme="majorHAnsi" w:cstheme="majorHAnsi"/>
          <w:bCs/>
          <w:lang w:val="it-IT" w:eastAsia="zh-CN"/>
        </w:rPr>
        <w:t>.</w:t>
      </w:r>
    </w:p>
    <w:p w14:paraId="081B3ABF" w14:textId="77777777" w:rsidR="00F31088" w:rsidRPr="00FB77EB" w:rsidRDefault="00F31088" w:rsidP="00F7268A">
      <w:pPr>
        <w:spacing w:line="240" w:lineRule="auto"/>
        <w:jc w:val="both"/>
        <w:rPr>
          <w:rFonts w:asciiTheme="majorHAnsi" w:eastAsia="SimSun" w:hAnsiTheme="majorHAnsi" w:cstheme="majorHAnsi"/>
          <w:bCs/>
          <w:lang w:val="it-IT" w:eastAsia="zh-CN"/>
        </w:rPr>
      </w:pPr>
    </w:p>
    <w:p w14:paraId="17A970DB" w14:textId="7634F03D" w:rsidR="00F31088" w:rsidRPr="00AE4314" w:rsidRDefault="00F31088" w:rsidP="00F7268A">
      <w:pPr>
        <w:pStyle w:val="Subhead"/>
        <w:jc w:val="both"/>
        <w:rPr>
          <w:lang w:val="it-IT"/>
        </w:rPr>
      </w:pPr>
      <w:r w:rsidRPr="00AE4314">
        <w:rPr>
          <w:lang w:val="it-IT"/>
        </w:rPr>
        <w:t>Disclaimer</w:t>
      </w:r>
    </w:p>
    <w:p w14:paraId="353630D7" w14:textId="6A867AC7" w:rsidR="00643297" w:rsidRPr="00AE4314" w:rsidRDefault="001C4B0C" w:rsidP="00F7268A">
      <w:pPr>
        <w:jc w:val="both"/>
        <w:rPr>
          <w:lang w:val="it-IT"/>
        </w:rPr>
      </w:pPr>
      <w:r w:rsidRPr="008F78E0">
        <w:rPr>
          <w:lang w:val="it-IT"/>
        </w:rPr>
        <w:t xml:space="preserve">Il presente comunicato </w:t>
      </w:r>
      <w:r w:rsidR="00073F5F" w:rsidRPr="008F78E0">
        <w:rPr>
          <w:lang w:val="it-IT"/>
        </w:rPr>
        <w:t xml:space="preserve">stampa </w:t>
      </w:r>
      <w:r w:rsidRPr="0098408D">
        <w:rPr>
          <w:lang w:val="it-IT"/>
        </w:rPr>
        <w:t>contiene dichiarazioni</w:t>
      </w:r>
      <w:r w:rsidR="00073F5F" w:rsidRPr="0098408D">
        <w:rPr>
          <w:lang w:val="it-IT"/>
        </w:rPr>
        <w:t xml:space="preserve"> previsionali </w:t>
      </w:r>
      <w:r w:rsidRPr="0098408D">
        <w:rPr>
          <w:lang w:val="it-IT"/>
        </w:rPr>
        <w:t>ai sensi del United States Private Securities Litigation Reform Act of 1995. Le dichiarazioni previsionali possono essere generalmente identificate dall’utilizzo di termini quali</w:t>
      </w:r>
      <w:r w:rsidRPr="00AE4314">
        <w:rPr>
          <w:lang w:val="it-IT"/>
        </w:rPr>
        <w:t xml:space="preserve"> “potenziale”, “potere”, “volere”, “intendere”, </w:t>
      </w:r>
      <w:r w:rsidR="00724962" w:rsidRPr="00AE4314">
        <w:rPr>
          <w:lang w:val="it-IT"/>
        </w:rPr>
        <w:t xml:space="preserve">“è possible che”, “vorrebbe”, </w:t>
      </w:r>
      <w:r w:rsidRPr="00AE4314">
        <w:rPr>
          <w:lang w:val="it-IT"/>
        </w:rPr>
        <w:t>“</w:t>
      </w:r>
      <w:r w:rsidR="00724962" w:rsidRPr="00AE4314">
        <w:rPr>
          <w:lang w:val="it-IT"/>
        </w:rPr>
        <w:t>aspettarsi</w:t>
      </w:r>
      <w:r w:rsidRPr="00AE4314">
        <w:rPr>
          <w:lang w:val="it-IT"/>
        </w:rPr>
        <w:t>”, “</w:t>
      </w:r>
      <w:r w:rsidR="00724962" w:rsidRPr="00AE4314">
        <w:rPr>
          <w:lang w:val="it-IT"/>
        </w:rPr>
        <w:t>prevenire</w:t>
      </w:r>
      <w:r w:rsidRPr="00AE4314">
        <w:rPr>
          <w:lang w:val="it-IT"/>
        </w:rPr>
        <w:t>”, “</w:t>
      </w:r>
      <w:r w:rsidR="00724962" w:rsidRPr="00AE4314">
        <w:rPr>
          <w:lang w:val="it-IT"/>
        </w:rPr>
        <w:t>cercare</w:t>
      </w:r>
      <w:r w:rsidRPr="00AE4314">
        <w:rPr>
          <w:lang w:val="it-IT"/>
        </w:rPr>
        <w:t>”, “</w:t>
      </w:r>
      <w:r w:rsidR="00724962" w:rsidRPr="00AE4314">
        <w:rPr>
          <w:lang w:val="it-IT"/>
        </w:rPr>
        <w:t>essere impaziente di..</w:t>
      </w:r>
      <w:r w:rsidRPr="00AE4314">
        <w:rPr>
          <w:lang w:val="it-IT"/>
        </w:rPr>
        <w:t xml:space="preserve">”, </w:t>
      </w:r>
      <w:r w:rsidR="00724962" w:rsidRPr="00AE4314">
        <w:rPr>
          <w:lang w:val="it-IT"/>
        </w:rPr>
        <w:t xml:space="preserve">“credere”, “impegnato”, “sperimentale”, “gamma di prodotti”, “lanciare” </w:t>
      </w:r>
      <w:r w:rsidRPr="00AE4314">
        <w:rPr>
          <w:lang w:val="it-IT"/>
        </w:rPr>
        <w:t>o espressioni simili</w:t>
      </w:r>
      <w:r w:rsidR="00724962" w:rsidRPr="00AE4314">
        <w:rPr>
          <w:lang w:val="it-IT"/>
        </w:rPr>
        <w:t xml:space="preserve">, o da </w:t>
      </w:r>
      <w:r w:rsidRPr="00AE4314">
        <w:rPr>
          <w:lang w:val="it-IT"/>
        </w:rPr>
        <w:t xml:space="preserve"> </w:t>
      </w:r>
      <w:r w:rsidR="00724962" w:rsidRPr="00AE4314">
        <w:rPr>
          <w:lang w:val="it-IT"/>
        </w:rPr>
        <w:t>discussion</w:t>
      </w:r>
      <w:r w:rsidR="00643297" w:rsidRPr="00AE4314">
        <w:rPr>
          <w:lang w:val="it-IT"/>
        </w:rPr>
        <w:t>i</w:t>
      </w:r>
      <w:r w:rsidR="00724962" w:rsidRPr="00AE4314">
        <w:rPr>
          <w:lang w:val="it-IT"/>
        </w:rPr>
        <w:t xml:space="preserve"> espress</w:t>
      </w:r>
      <w:r w:rsidR="00643297" w:rsidRPr="00AE4314">
        <w:rPr>
          <w:lang w:val="it-IT"/>
        </w:rPr>
        <w:t>e</w:t>
      </w:r>
      <w:r w:rsidR="00724962" w:rsidRPr="00AE4314">
        <w:rPr>
          <w:lang w:val="it-IT"/>
        </w:rPr>
        <w:t xml:space="preserve"> o implicite relative alle potenziali aprpovazioni di commercializzazione, nuove indicazioni o etichettature dei prodotti in </w:t>
      </w:r>
      <w:r w:rsidR="00643297" w:rsidRPr="00AE4314">
        <w:rPr>
          <w:lang w:val="it-IT"/>
        </w:rPr>
        <w:t>c</w:t>
      </w:r>
      <w:r w:rsidR="00724962" w:rsidRPr="00AE4314">
        <w:rPr>
          <w:lang w:val="it-IT"/>
        </w:rPr>
        <w:t>orso di investigazione o approvati, descritti in questo comunicato stampa, o relative a potenziali ricavi futur</w:t>
      </w:r>
      <w:r w:rsidR="00002B8C" w:rsidRPr="00AE4314">
        <w:rPr>
          <w:lang w:val="it-IT"/>
        </w:rPr>
        <w:t>i derivanti</w:t>
      </w:r>
      <w:r w:rsidR="00724962" w:rsidRPr="00AE4314">
        <w:rPr>
          <w:lang w:val="it-IT"/>
        </w:rPr>
        <w:t xml:space="preserve"> </w:t>
      </w:r>
      <w:r w:rsidR="00002B8C" w:rsidRPr="00AE4314">
        <w:rPr>
          <w:lang w:val="it-IT"/>
        </w:rPr>
        <w:t xml:space="preserve">da tali prodotti. </w:t>
      </w:r>
      <w:r w:rsidR="00223579" w:rsidRPr="00AE4314">
        <w:rPr>
          <w:lang w:val="it-IT"/>
        </w:rPr>
        <w:t xml:space="preserve">Non </w:t>
      </w:r>
      <w:r w:rsidR="00F724BA" w:rsidRPr="00AE4314">
        <w:rPr>
          <w:lang w:val="it-IT"/>
        </w:rPr>
        <w:t>riporre</w:t>
      </w:r>
      <w:r w:rsidR="00223579" w:rsidRPr="00AE4314">
        <w:rPr>
          <w:lang w:val="it-IT"/>
        </w:rPr>
        <w:t xml:space="preserve"> eccessiva fiducia </w:t>
      </w:r>
      <w:r w:rsidR="00F724BA" w:rsidRPr="00AE4314">
        <w:rPr>
          <w:lang w:val="it-IT"/>
        </w:rPr>
        <w:t>in</w:t>
      </w:r>
      <w:r w:rsidR="00223579" w:rsidRPr="00AE4314">
        <w:rPr>
          <w:lang w:val="it-IT"/>
        </w:rPr>
        <w:t xml:space="preserve"> queste dichiarazioni.</w:t>
      </w:r>
      <w:r w:rsidR="005A76D6">
        <w:rPr>
          <w:lang w:val="it-IT"/>
        </w:rPr>
        <w:t xml:space="preserve"> </w:t>
      </w:r>
      <w:r w:rsidR="00643297" w:rsidRPr="00AE4314">
        <w:rPr>
          <w:lang w:val="it-IT"/>
        </w:rPr>
        <w:t xml:space="preserve">Le dichiarazioni previsionali si basano sulle nostre attuali convinzioni e aspettative relative ad eventi futuri e sono soggette a significativi rischi noti e ignoti e a incertezze. Se uno o più di questi rischi o incertezze di dovesse verificare, oppure se </w:t>
      </w:r>
      <w:r w:rsidR="00223579" w:rsidRPr="00AE4314">
        <w:rPr>
          <w:lang w:val="it-IT"/>
        </w:rPr>
        <w:t>le ipotesi sottostanti si rivelassero errate, i risultati effettivi potrebbero variare sostanzialmente da quelli indicati nelle dichiarazioni previsionali.</w:t>
      </w:r>
    </w:p>
    <w:p w14:paraId="67F1479F" w14:textId="7655E467" w:rsidR="001C4B0C" w:rsidRPr="00FB77EB" w:rsidRDefault="00223579" w:rsidP="00F7268A">
      <w:pPr>
        <w:jc w:val="both"/>
        <w:rPr>
          <w:lang w:val="it-IT"/>
        </w:rPr>
      </w:pPr>
      <w:r w:rsidRPr="00AE4314">
        <w:rPr>
          <w:lang w:val="it-IT"/>
        </w:rPr>
        <w:t xml:space="preserve">Non vi può essere alcuna garanzia che i prodotti in corso di sperimentazione o approvati descritti in questo comunicato stampa saranno presentati o approvati per la vendita o per ulteriori indicazioni o etichettature in qualsiasi mercato o in qualsiasi momento. Nè ci può essere garanzia che tali prodotti </w:t>
      </w:r>
      <w:r w:rsidR="00F724BA" w:rsidRPr="00AE4314">
        <w:rPr>
          <w:lang w:val="it-IT"/>
        </w:rPr>
        <w:t>a</w:t>
      </w:r>
      <w:r w:rsidRPr="00AE4314">
        <w:rPr>
          <w:lang w:val="it-IT"/>
        </w:rPr>
        <w:t xml:space="preserve">bbiano successo commerciale nel futuro. In modo particolare le nostre aspettative relativamente a </w:t>
      </w:r>
      <w:r w:rsidR="007F6C3B" w:rsidRPr="00AE4314">
        <w:rPr>
          <w:lang w:val="it-IT"/>
        </w:rPr>
        <w:t>tali</w:t>
      </w:r>
      <w:r w:rsidRPr="00AE4314">
        <w:rPr>
          <w:lang w:val="it-IT"/>
        </w:rPr>
        <w:t xml:space="preserve"> prodotti</w:t>
      </w:r>
      <w:r w:rsidR="007F6C3B" w:rsidRPr="00AE4314">
        <w:rPr>
          <w:lang w:val="it-IT"/>
        </w:rPr>
        <w:t xml:space="preserve"> potrebbero essere influenzate, tra le altre cose, da incognite inerenti la ricerca e lo sviluppo, compresi i risultati degli studi clinici, o ulteriori analisi di dati clinici già esistenti; atti normativ</w:t>
      </w:r>
      <w:r w:rsidR="00F724BA" w:rsidRPr="00AE4314">
        <w:rPr>
          <w:lang w:val="it-IT"/>
        </w:rPr>
        <w:t>i</w:t>
      </w:r>
      <w:r w:rsidR="007F6C3B" w:rsidRPr="00AE4314">
        <w:rPr>
          <w:lang w:val="it-IT"/>
        </w:rPr>
        <w:t xml:space="preserve"> o ritardi o disposizioni regolamentari del governo in generale; tendenze globali verso il contenimento dei costi dell'assistenza sanitaria, comprese le pressioni sui prezzi e sui rimborsi del governo, dei pagatori e del pubblico in generale e gli obblighi per una maggiore trasparenza dei prezzi; </w:t>
      </w:r>
      <w:r w:rsidR="00D25446" w:rsidRPr="00AE4314">
        <w:rPr>
          <w:lang w:val="it-IT"/>
        </w:rPr>
        <w:t xml:space="preserve">la nostra capacità di ottenere o mantenere la protezione della proprietà intellettuale; le particolari preferenze prescrittive di medici e pazienti; condizioni politiche, economiche e commerciali generali, compresi gli effetti o gli sforzi di limitare malattie pandemiche come COVID-19; problemi di sicurezza, qualità, integrità dei dati o </w:t>
      </w:r>
      <w:r w:rsidR="00F724BA" w:rsidRPr="00AE4314">
        <w:rPr>
          <w:lang w:val="it-IT"/>
        </w:rPr>
        <w:t xml:space="preserve">di </w:t>
      </w:r>
      <w:r w:rsidR="00D25446" w:rsidRPr="00AE4314">
        <w:rPr>
          <w:lang w:val="it-IT"/>
        </w:rPr>
        <w:t>produzione; potenziali o effettive violazioni della sicurezza e della privacy dei dati, o interruzioni dei nostril sistemi informatici, e altri rischi e fattori a cui si fa riferimento nell'attuale modulo 20-F di Novartis AG in archivio presso la Securities and Exchange Commission degli Stati Uniti.</w:t>
      </w:r>
      <w:r w:rsidR="00F724BA" w:rsidRPr="00AE4314">
        <w:rPr>
          <w:lang w:val="it-IT"/>
        </w:rPr>
        <w:t xml:space="preserve"> </w:t>
      </w:r>
      <w:r w:rsidR="001C4B0C" w:rsidRPr="00AE4314">
        <w:rPr>
          <w:lang w:val="it-IT"/>
        </w:rPr>
        <w:t xml:space="preserve">Novartis fornisce le informazioni contenute in questo comunicato stampa così come </w:t>
      </w:r>
      <w:r w:rsidR="001C4B0C" w:rsidRPr="00AE4314">
        <w:rPr>
          <w:lang w:val="it-IT"/>
        </w:rPr>
        <w:lastRenderedPageBreak/>
        <w:t>sono alla data di oggi e non si assume l’obbligo di aggior</w:t>
      </w:r>
      <w:r w:rsidR="009D75CA" w:rsidRPr="00AE4314">
        <w:rPr>
          <w:lang w:val="it-IT"/>
        </w:rPr>
        <w:t>nar</w:t>
      </w:r>
      <w:r w:rsidR="001C4B0C" w:rsidRPr="00AE4314">
        <w:rPr>
          <w:lang w:val="it-IT"/>
        </w:rPr>
        <w:t xml:space="preserve">e </w:t>
      </w:r>
      <w:r w:rsidR="00D25446" w:rsidRPr="00AE4314">
        <w:rPr>
          <w:lang w:val="it-IT"/>
        </w:rPr>
        <w:t>le dichiarazioni previsionali contenute in questo comunicato stampa, a seguito di nuove informazioni, eventi futur</w:t>
      </w:r>
      <w:r w:rsidR="009D75CA" w:rsidRPr="00AE4314">
        <w:rPr>
          <w:lang w:val="it-IT"/>
        </w:rPr>
        <w:t>i</w:t>
      </w:r>
      <w:r w:rsidR="00D25446" w:rsidRPr="00AE4314">
        <w:rPr>
          <w:lang w:val="it-IT"/>
        </w:rPr>
        <w:t xml:space="preserve"> o altro</w:t>
      </w:r>
      <w:r w:rsidR="001C4B0C" w:rsidRPr="00AE4314">
        <w:rPr>
          <w:lang w:val="it-IT"/>
        </w:rPr>
        <w:t>.</w:t>
      </w:r>
    </w:p>
    <w:p w14:paraId="718F062B" w14:textId="77777777" w:rsidR="00085D4B" w:rsidRPr="00FB77EB" w:rsidRDefault="00085D4B" w:rsidP="00F7268A">
      <w:pPr>
        <w:pStyle w:val="Subhead"/>
        <w:jc w:val="both"/>
        <w:rPr>
          <w:lang w:val="it-IT"/>
        </w:rPr>
      </w:pPr>
    </w:p>
    <w:p w14:paraId="29109F08" w14:textId="77777777" w:rsidR="00A34E4C" w:rsidRDefault="00A34E4C" w:rsidP="00A34E4C">
      <w:pPr>
        <w:pStyle w:val="hs97"/>
        <w:spacing w:before="160" w:beforeAutospacing="0" w:after="0" w:afterAutospacing="0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>Novartis</w:t>
      </w:r>
    </w:p>
    <w:p w14:paraId="7DB1C840" w14:textId="77777777" w:rsidR="00A34E4C" w:rsidRPr="00132AAC" w:rsidRDefault="00A34E4C" w:rsidP="00A34E4C">
      <w:pPr>
        <w:jc w:val="both"/>
        <w:rPr>
          <w:rFonts w:eastAsia="Calibri" w:cs="Arial"/>
          <w:spacing w:val="-4"/>
          <w:sz w:val="18"/>
          <w:szCs w:val="18"/>
          <w:lang w:val="it-IT"/>
        </w:rPr>
      </w:pPr>
      <w:r w:rsidRPr="00EE2243">
        <w:rPr>
          <w:rFonts w:eastAsia="Calibri" w:cs="Arial"/>
          <w:sz w:val="18"/>
          <w:szCs w:val="18"/>
          <w:lang w:val="it-IT"/>
        </w:rPr>
        <w:t xml:space="preserve">Novartis sta interpretando in modo nuovo la medicina allo scopo di migliorare e prolungare la vita delle persone. Come azienda tra i leader a livello globale nel settore farmaceutico, utilizziamo tecnologie scientifiche e digitali innovative per creare terapie trasformative in aree che presentano importanti bisogni medici. Impegnati a scoprire nuovi farmaci, siamo stabilmente tra le prime aziende al mondo negli investimenti in ricerca e sviluppo. I prodotti Novartis raggiungono quasi 800 milioni di persone su scala globale e lavoriamo per individuare modi innovativi per espandere l’accesso ai nostri trattamenti più recenti. A livello mondiale, circa 109 000 persone di oltre 140 diverse nazionalità lavorano in Novartis. Ulteriori informazioni su </w:t>
      </w:r>
      <w:hyperlink r:id="rId13" w:history="1">
        <w:r w:rsidRPr="00EE2243">
          <w:rPr>
            <w:rStyle w:val="Collegamentoipertestuale"/>
            <w:rFonts w:eastAsia="Calibri" w:cs="Arial"/>
            <w:sz w:val="18"/>
            <w:szCs w:val="18"/>
            <w:lang w:val="it-IT"/>
          </w:rPr>
          <w:t>www.novartis.it</w:t>
        </w:r>
      </w:hyperlink>
      <w:r w:rsidRPr="00EE2243">
        <w:rPr>
          <w:rFonts w:eastAsia="Calibri" w:cs="Arial"/>
          <w:sz w:val="18"/>
          <w:szCs w:val="18"/>
          <w:lang w:val="it-IT"/>
        </w:rPr>
        <w:t xml:space="preserve"> e</w:t>
      </w:r>
      <w:r w:rsidRPr="00EE2243">
        <w:rPr>
          <w:rFonts w:eastAsia="Calibri" w:cs="Arial"/>
          <w:sz w:val="18"/>
          <w:szCs w:val="18"/>
          <w:shd w:val="clear" w:color="auto" w:fill="FFFFFF"/>
          <w:lang w:val="it-IT"/>
        </w:rPr>
        <w:t xml:space="preserve"> </w:t>
      </w:r>
      <w:hyperlink r:id="rId14" w:history="1">
        <w:r w:rsidRPr="00D00125">
          <w:rPr>
            <w:rStyle w:val="Collegamentoipertestuale"/>
            <w:rFonts w:eastAsia="Calibri" w:cs="Arial"/>
            <w:spacing w:val="-4"/>
            <w:sz w:val="18"/>
            <w:szCs w:val="18"/>
            <w:lang w:val="it-IT"/>
          </w:rPr>
          <w:t>www.novartis.com. @NovartisItalia</w:t>
        </w:r>
      </w:hyperlink>
      <w:r>
        <w:rPr>
          <w:rFonts w:eastAsia="Calibri" w:cs="Arial"/>
          <w:spacing w:val="-4"/>
          <w:sz w:val="18"/>
          <w:szCs w:val="18"/>
          <w:u w:val="single"/>
          <w:lang w:val="it-IT"/>
        </w:rPr>
        <w:t xml:space="preserve"> </w:t>
      </w:r>
      <w:r w:rsidRPr="00132AAC">
        <w:rPr>
          <w:rFonts w:eastAsia="Calibri" w:cs="Arial"/>
          <w:spacing w:val="-4"/>
          <w:sz w:val="18"/>
          <w:szCs w:val="18"/>
          <w:lang w:val="it-IT"/>
        </w:rPr>
        <w:t xml:space="preserve"> è anche su Twitter e LinkedIn.</w:t>
      </w:r>
    </w:p>
    <w:p w14:paraId="285C30FE" w14:textId="77777777" w:rsidR="00A34E4C" w:rsidRPr="00132AAC" w:rsidRDefault="00A34E4C" w:rsidP="00A34E4C">
      <w:pPr>
        <w:jc w:val="both"/>
        <w:rPr>
          <w:rFonts w:eastAsia="Calibri" w:cs="Arial"/>
          <w:spacing w:val="-4"/>
          <w:lang w:val="it-IT"/>
        </w:rPr>
      </w:pPr>
    </w:p>
    <w:p w14:paraId="1D43A7B2" w14:textId="77777777" w:rsidR="00085D4B" w:rsidRPr="00FB77EB" w:rsidRDefault="00085D4B" w:rsidP="00F31088">
      <w:pPr>
        <w:rPr>
          <w:lang w:val="it-IT"/>
        </w:rPr>
      </w:pPr>
    </w:p>
    <w:p w14:paraId="459ED806" w14:textId="77777777" w:rsidR="005A76D6" w:rsidRDefault="005A76D6" w:rsidP="00090D7E">
      <w:pPr>
        <w:rPr>
          <w:rFonts w:asciiTheme="majorHAnsi" w:eastAsia="SimSun" w:hAnsiTheme="majorHAnsi" w:cstheme="majorHAnsi"/>
          <w:bCs/>
          <w:lang w:val="it-IT" w:eastAsia="zh-CN"/>
        </w:rPr>
      </w:pPr>
    </w:p>
    <w:p w14:paraId="321656F2" w14:textId="44211E93" w:rsidR="00090D7E" w:rsidRPr="00AB2A3F" w:rsidRDefault="00C5503D" w:rsidP="00090D7E">
      <w:pPr>
        <w:rPr>
          <w:bCs/>
        </w:rPr>
      </w:pPr>
      <w:r w:rsidRPr="00AB2A3F">
        <w:rPr>
          <w:bCs/>
        </w:rPr>
        <w:t>Bibliografia</w:t>
      </w:r>
    </w:p>
    <w:p w14:paraId="398D9F8C" w14:textId="77777777" w:rsidR="002F5BFE" w:rsidRDefault="002F5BFE" w:rsidP="002F5BFE">
      <w:pPr>
        <w:numPr>
          <w:ilvl w:val="0"/>
          <w:numId w:val="21"/>
        </w:numPr>
        <w:spacing w:line="240" w:lineRule="auto"/>
        <w:ind w:left="302"/>
        <w:textAlignment w:val="baseline"/>
        <w:rPr>
          <w:sz w:val="16"/>
        </w:rPr>
      </w:pPr>
      <w:r>
        <w:rPr>
          <w:sz w:val="16"/>
        </w:rPr>
        <w:t>Novartis Data on File. Novartis Pharmaceuticals Corp: 2021.</w:t>
      </w:r>
    </w:p>
    <w:p w14:paraId="092EA3B1" w14:textId="77777777" w:rsidR="002F5BFE" w:rsidRPr="00D54493" w:rsidRDefault="002F5BFE" w:rsidP="002F5BFE">
      <w:pPr>
        <w:numPr>
          <w:ilvl w:val="0"/>
          <w:numId w:val="21"/>
        </w:numPr>
        <w:spacing w:line="240" w:lineRule="auto"/>
        <w:ind w:left="300"/>
        <w:textAlignment w:val="baseline"/>
        <w:rPr>
          <w:sz w:val="16"/>
        </w:rPr>
      </w:pPr>
      <w:r w:rsidRPr="00D54493">
        <w:rPr>
          <w:sz w:val="16"/>
        </w:rPr>
        <w:t xml:space="preserve">Hortobagyi, et al. Overall survival (OS) results from the phase III MONALEESA (ML)-2 trial of postmenopausal patients with hormone receptor positive/human epidermal growth factor receptor 2 negative (HR+/HER2−) advanced breast cancer (ABC) treated with endocrine therapy (ET) ± ribociclib. Presented at the European Society of Medical Oncology (ESMO) Congress, September 16-21, 2021, (Abstract </w:t>
      </w:r>
      <w:r w:rsidRPr="00C83A46">
        <w:rPr>
          <w:sz w:val="16"/>
        </w:rPr>
        <w:t>#</w:t>
      </w:r>
      <w:r>
        <w:rPr>
          <w:sz w:val="16"/>
        </w:rPr>
        <w:t>LBA17</w:t>
      </w:r>
      <w:r w:rsidRPr="00D54493">
        <w:rPr>
          <w:sz w:val="16"/>
        </w:rPr>
        <w:t xml:space="preserve">). </w:t>
      </w:r>
    </w:p>
    <w:p w14:paraId="5D4A6B01" w14:textId="77777777" w:rsidR="002F5BFE" w:rsidRPr="00D54493" w:rsidRDefault="002F5BFE" w:rsidP="002F5BFE">
      <w:pPr>
        <w:numPr>
          <w:ilvl w:val="0"/>
          <w:numId w:val="21"/>
        </w:numPr>
        <w:spacing w:line="240" w:lineRule="auto"/>
        <w:ind w:left="300"/>
        <w:textAlignment w:val="baseline"/>
        <w:rPr>
          <w:sz w:val="16"/>
        </w:rPr>
      </w:pPr>
      <w:r w:rsidRPr="00D54493">
        <w:rPr>
          <w:sz w:val="16"/>
        </w:rPr>
        <w:t xml:space="preserve">Im, S. A. et al. Overall Survival with Ribociclib plus Endocrine Therapy in Breast Cancer. </w:t>
      </w:r>
      <w:r w:rsidRPr="00D54493">
        <w:rPr>
          <w:i/>
          <w:sz w:val="16"/>
        </w:rPr>
        <w:t>N Engl J Med</w:t>
      </w:r>
      <w:r w:rsidRPr="00D54493">
        <w:rPr>
          <w:sz w:val="16"/>
        </w:rPr>
        <w:t xml:space="preserve"> 2019; 381:307-316.</w:t>
      </w:r>
    </w:p>
    <w:p w14:paraId="0AF7FDED" w14:textId="77777777" w:rsidR="002F5BFE" w:rsidRDefault="002F5BFE" w:rsidP="002F5BFE">
      <w:pPr>
        <w:numPr>
          <w:ilvl w:val="0"/>
          <w:numId w:val="21"/>
        </w:numPr>
        <w:spacing w:line="240" w:lineRule="auto"/>
        <w:ind w:left="300"/>
        <w:textAlignment w:val="baseline"/>
        <w:rPr>
          <w:sz w:val="16"/>
        </w:rPr>
      </w:pPr>
      <w:r w:rsidRPr="00D54493">
        <w:rPr>
          <w:sz w:val="16"/>
        </w:rPr>
        <w:t xml:space="preserve">Slamon DJ, Neven P, Chia S, Fasching PA, De Laurentiis M, Im S-A, et al. Overall survival with ribociclib plus fulvestrant in advanced breast cancer. </w:t>
      </w:r>
      <w:r w:rsidRPr="00D54493">
        <w:rPr>
          <w:i/>
          <w:sz w:val="16"/>
        </w:rPr>
        <w:t>N Engl J Med</w:t>
      </w:r>
      <w:r w:rsidRPr="00D54493">
        <w:rPr>
          <w:sz w:val="16"/>
        </w:rPr>
        <w:t>. 2020;382(6):514–24.</w:t>
      </w:r>
    </w:p>
    <w:p w14:paraId="66D52A89" w14:textId="77777777" w:rsidR="002F5BFE" w:rsidRPr="001225D0" w:rsidRDefault="002F5BFE" w:rsidP="002F5BFE">
      <w:pPr>
        <w:numPr>
          <w:ilvl w:val="0"/>
          <w:numId w:val="21"/>
        </w:numPr>
        <w:spacing w:line="240" w:lineRule="auto"/>
        <w:ind w:left="300"/>
        <w:textAlignment w:val="baseline"/>
        <w:rPr>
          <w:sz w:val="16"/>
        </w:rPr>
      </w:pPr>
      <w:r w:rsidRPr="007976B2">
        <w:rPr>
          <w:sz w:val="16"/>
        </w:rPr>
        <w:t xml:space="preserve">Hortobagyi G, Stemmer S, Burris H, et al. </w:t>
      </w:r>
      <w:r w:rsidRPr="0047707E">
        <w:rPr>
          <w:sz w:val="16"/>
        </w:rPr>
        <w:t>Ribociclib as First-Line Therapy for HR-Positive, Advanced Breast Cancer</w:t>
      </w:r>
      <w:r w:rsidRPr="007976B2">
        <w:rPr>
          <w:sz w:val="16"/>
        </w:rPr>
        <w:t xml:space="preserve">. </w:t>
      </w:r>
      <w:r w:rsidRPr="007976B2">
        <w:rPr>
          <w:i/>
          <w:sz w:val="16"/>
        </w:rPr>
        <w:t>N Engl J Med.</w:t>
      </w:r>
      <w:r w:rsidRPr="0047707E">
        <w:rPr>
          <w:sz w:val="16"/>
        </w:rPr>
        <w:t xml:space="preserve"> 2016;375:1738-1748.</w:t>
      </w:r>
    </w:p>
    <w:p w14:paraId="1ACDC7E0" w14:textId="77777777" w:rsidR="002F5BFE" w:rsidRPr="00D54493" w:rsidRDefault="002F5BFE" w:rsidP="002F5BFE">
      <w:pPr>
        <w:numPr>
          <w:ilvl w:val="0"/>
          <w:numId w:val="21"/>
        </w:numPr>
        <w:spacing w:line="240" w:lineRule="auto"/>
        <w:ind w:left="300"/>
        <w:textAlignment w:val="baseline"/>
        <w:rPr>
          <w:rFonts w:ascii="Arial" w:eastAsia="Times New Roman" w:hAnsi="Arial" w:cs="Arial"/>
          <w:color w:val="1F140C"/>
          <w:sz w:val="16"/>
        </w:rPr>
      </w:pPr>
      <w:r w:rsidRPr="00D54493">
        <w:rPr>
          <w:rFonts w:ascii="Arial" w:eastAsia="Times New Roman" w:hAnsi="Arial" w:cs="Arial"/>
          <w:color w:val="1F140C"/>
          <w:sz w:val="16"/>
        </w:rPr>
        <w:t>Slamon D, Neven P, Chia S, et al. Updated overall survival (OS) results from the Phase III MONALEESA-3 trial of postmenopausal patients (pts) with HR+/HER2− advanced breast cancer (ABC) treated with fulvestrant (FUL) ± ribociclib (RIB. Presented at the American Society of Clinical Oncology (ASCO) Annual Meeting, June 5, 2021, (Abstract #1001).</w:t>
      </w:r>
    </w:p>
    <w:p w14:paraId="6379AAC0" w14:textId="77777777" w:rsidR="002F5BFE" w:rsidRDefault="002F5BFE" w:rsidP="002F5BFE">
      <w:pPr>
        <w:numPr>
          <w:ilvl w:val="0"/>
          <w:numId w:val="21"/>
        </w:numPr>
        <w:spacing w:line="240" w:lineRule="auto"/>
        <w:ind w:left="300"/>
        <w:textAlignment w:val="baseline"/>
        <w:rPr>
          <w:rFonts w:ascii="Arial" w:eastAsia="Times New Roman" w:hAnsi="Arial" w:cs="Arial"/>
          <w:color w:val="1F140C"/>
          <w:sz w:val="16"/>
        </w:rPr>
      </w:pPr>
      <w:r w:rsidRPr="00D54493">
        <w:rPr>
          <w:sz w:val="16"/>
        </w:rPr>
        <w:t xml:space="preserve">Tripathy D, Im S-A, Colleoni M, et al, Updated overall survival (OS) results from the phase III MONALEESA-7 trial of pre- or perimenopausal patients with HR+/HER2− advanced breast cancer (ABC) treated with endocrine therapy (ET) </w:t>
      </w:r>
      <w:r w:rsidRPr="00615AC1">
        <w:rPr>
          <w:rFonts w:ascii="Arial" w:eastAsia="Times New Roman" w:hAnsi="Arial" w:cs="Arial"/>
          <w:color w:val="1F140C"/>
          <w:sz w:val="16"/>
        </w:rPr>
        <w:t>± ribociclib. Presented at the San Antonio Breast Cancer Symposium, December 9, 2020. Abstract #PD2-04.</w:t>
      </w:r>
    </w:p>
    <w:p w14:paraId="4D986170" w14:textId="77777777" w:rsidR="002F5BFE" w:rsidRPr="001225D0" w:rsidRDefault="002F5BFE" w:rsidP="002F5BFE">
      <w:pPr>
        <w:numPr>
          <w:ilvl w:val="0"/>
          <w:numId w:val="21"/>
        </w:numPr>
        <w:spacing w:line="240" w:lineRule="auto"/>
        <w:ind w:left="300"/>
        <w:textAlignment w:val="baseline"/>
        <w:rPr>
          <w:sz w:val="16"/>
        </w:rPr>
      </w:pPr>
      <w:r w:rsidRPr="00D54493">
        <w:rPr>
          <w:sz w:val="16"/>
        </w:rPr>
        <w:t>Ferlay, J, et al. Global Cancer Observatory: Cancer Today. International Agency for Re</w:t>
      </w:r>
      <w:r>
        <w:rPr>
          <w:sz w:val="16"/>
        </w:rPr>
        <w:t xml:space="preserve">search on Cancer. Available at: </w:t>
      </w:r>
      <w:r w:rsidRPr="00080AB8">
        <w:rPr>
          <w:sz w:val="16"/>
        </w:rPr>
        <w:t>https://gco.iarc.fr/today/online-analysis-table?v=2020&amp;mode=cancer&amp;mode_population=continents&amp;population=900&amp;populations=900&amp;key=asr&amp;sex=2&amp;cancer=39&amp;type=1&amp;statistic=5&amp;prevalence=0&amp;population_group=0&amp;ages_group%5B%5D=0&amp;ages_group%5B%5D=17&amp;group_cancer=1&amp;include_nmsc=1&amp;include_nmsc_other=1, accessed August 18, 2021.</w:t>
      </w:r>
    </w:p>
    <w:p w14:paraId="69DEEFC9" w14:textId="77777777" w:rsidR="002F5BFE" w:rsidRDefault="002F5BFE" w:rsidP="002F5BFE">
      <w:pPr>
        <w:numPr>
          <w:ilvl w:val="0"/>
          <w:numId w:val="21"/>
        </w:numPr>
        <w:spacing w:line="240" w:lineRule="auto"/>
        <w:ind w:left="300"/>
        <w:textAlignment w:val="baseline"/>
        <w:rPr>
          <w:rFonts w:ascii="Arial" w:eastAsia="Times New Roman" w:hAnsi="Arial" w:cs="Arial"/>
          <w:color w:val="1F140C"/>
          <w:sz w:val="16"/>
        </w:rPr>
      </w:pPr>
      <w:r w:rsidRPr="00200CE6">
        <w:rPr>
          <w:rFonts w:ascii="Arial" w:eastAsia="Times New Roman" w:hAnsi="Arial" w:cs="Arial"/>
          <w:color w:val="1F140C"/>
          <w:sz w:val="16"/>
        </w:rPr>
        <w:t>Kisqali (ribociclib) Prescribing information. East Hanover, New Jersey, USA: Novartis Pharmaceuticals Corporation; July 2020.</w:t>
      </w:r>
      <w:r>
        <w:rPr>
          <w:rFonts w:ascii="Arial" w:eastAsia="Times New Roman" w:hAnsi="Arial" w:cs="Arial"/>
          <w:color w:val="1F140C"/>
          <w:sz w:val="16"/>
        </w:rPr>
        <w:t xml:space="preserve"> </w:t>
      </w:r>
    </w:p>
    <w:p w14:paraId="28A1D3A7" w14:textId="23AAEA06" w:rsidR="002F5BFE" w:rsidRPr="007350B3" w:rsidRDefault="002F5BFE" w:rsidP="002F5BFE">
      <w:pPr>
        <w:numPr>
          <w:ilvl w:val="0"/>
          <w:numId w:val="21"/>
        </w:numPr>
        <w:spacing w:line="240" w:lineRule="auto"/>
        <w:ind w:left="300"/>
        <w:textAlignment w:val="baseline"/>
        <w:rPr>
          <w:sz w:val="16"/>
        </w:rPr>
      </w:pPr>
      <w:r w:rsidRPr="007350B3">
        <w:rPr>
          <w:sz w:val="16"/>
        </w:rPr>
        <w:t xml:space="preserve">Novartis Pharmaceuticals and Translational Research in Oncology (2018, December 7 - 2026, May 29). A Trial to Evaluate Efficacy and Safety of Ribociclib With Endocrine Therapy as Adjuvant Treatment in Patients With HR+/HER2- Early Breast Cancer (NATALEE). Identifier NCT03701334. https://clinicaltrials.gov/ct2/show/NCT03701334. </w:t>
      </w:r>
    </w:p>
    <w:p w14:paraId="3C17DBE5" w14:textId="4A9A4989" w:rsidR="00090D7E" w:rsidRDefault="00090D7E" w:rsidP="00090D7E">
      <w:pPr>
        <w:spacing w:after="150" w:line="240" w:lineRule="auto"/>
        <w:jc w:val="both"/>
        <w:textAlignment w:val="baseline"/>
      </w:pPr>
    </w:p>
    <w:p w14:paraId="3BB490E5" w14:textId="77777777" w:rsidR="00F7268A" w:rsidRPr="00FB77EB" w:rsidRDefault="00F7268A" w:rsidP="00F7268A">
      <w:pPr>
        <w:tabs>
          <w:tab w:val="left" w:pos="720"/>
          <w:tab w:val="left" w:pos="1170"/>
        </w:tabs>
        <w:spacing w:line="240" w:lineRule="auto"/>
        <w:contextualSpacing/>
        <w:rPr>
          <w:rFonts w:cs="Arial"/>
          <w:b/>
          <w:sz w:val="18"/>
        </w:rPr>
      </w:pPr>
    </w:p>
    <w:p w14:paraId="5DBB3472" w14:textId="6E9DEDB1" w:rsidR="00F7268A" w:rsidRPr="00300BBB" w:rsidRDefault="00F7268A" w:rsidP="00F7268A">
      <w:pPr>
        <w:tabs>
          <w:tab w:val="left" w:pos="720"/>
          <w:tab w:val="left" w:pos="1170"/>
        </w:tabs>
        <w:spacing w:line="240" w:lineRule="auto"/>
        <w:contextualSpacing/>
        <w:rPr>
          <w:rFonts w:cs="Arial"/>
          <w:b/>
          <w:sz w:val="18"/>
          <w:lang w:val="it-IT"/>
        </w:rPr>
      </w:pPr>
      <w:r w:rsidRPr="00300BBB">
        <w:rPr>
          <w:rFonts w:cs="Arial"/>
          <w:b/>
          <w:sz w:val="18"/>
          <w:lang w:val="it-IT"/>
        </w:rPr>
        <w:t>Per informazioni:</w:t>
      </w:r>
    </w:p>
    <w:p w14:paraId="71D7D74C" w14:textId="77777777" w:rsidR="00F7268A" w:rsidRDefault="00F7268A" w:rsidP="00F7268A">
      <w:pPr>
        <w:tabs>
          <w:tab w:val="left" w:pos="720"/>
          <w:tab w:val="left" w:pos="1170"/>
        </w:tabs>
        <w:spacing w:line="240" w:lineRule="auto"/>
        <w:contextualSpacing/>
        <w:rPr>
          <w:rFonts w:cs="Arial"/>
          <w:sz w:val="18"/>
          <w:lang w:val="it-IT"/>
        </w:rPr>
      </w:pPr>
    </w:p>
    <w:p w14:paraId="006B6F4E" w14:textId="77777777" w:rsidR="00F7268A" w:rsidRDefault="00F7268A" w:rsidP="00F7268A">
      <w:pPr>
        <w:tabs>
          <w:tab w:val="left" w:pos="720"/>
          <w:tab w:val="left" w:pos="1170"/>
        </w:tabs>
        <w:spacing w:line="240" w:lineRule="auto"/>
        <w:contextualSpacing/>
        <w:rPr>
          <w:rFonts w:cs="Arial"/>
          <w:sz w:val="18"/>
          <w:lang w:val="it-IT"/>
        </w:rPr>
      </w:pPr>
      <w:r>
        <w:rPr>
          <w:rFonts w:cs="Arial"/>
          <w:sz w:val="18"/>
          <w:lang w:val="it-IT"/>
        </w:rPr>
        <w:t>Chiara Gnocchi</w:t>
      </w:r>
    </w:p>
    <w:p w14:paraId="3499BE01" w14:textId="77777777" w:rsidR="00F7268A" w:rsidRDefault="00F7268A" w:rsidP="00F7268A">
      <w:pPr>
        <w:tabs>
          <w:tab w:val="left" w:pos="720"/>
          <w:tab w:val="left" w:pos="1170"/>
        </w:tabs>
        <w:spacing w:line="240" w:lineRule="auto"/>
        <w:contextualSpacing/>
        <w:rPr>
          <w:rFonts w:cs="Arial"/>
          <w:sz w:val="18"/>
          <w:lang w:val="it-IT"/>
        </w:rPr>
      </w:pPr>
      <w:r>
        <w:rPr>
          <w:rFonts w:cs="Arial"/>
          <w:sz w:val="18"/>
          <w:lang w:val="it-IT"/>
        </w:rPr>
        <w:t>Communication Lead</w:t>
      </w:r>
    </w:p>
    <w:p w14:paraId="091B0ED3" w14:textId="77777777" w:rsidR="00F7268A" w:rsidRDefault="00F7268A" w:rsidP="00F7268A">
      <w:pPr>
        <w:tabs>
          <w:tab w:val="left" w:pos="720"/>
          <w:tab w:val="left" w:pos="1170"/>
        </w:tabs>
        <w:spacing w:line="240" w:lineRule="auto"/>
        <w:contextualSpacing/>
        <w:rPr>
          <w:rFonts w:cs="Arial"/>
          <w:sz w:val="18"/>
          <w:lang w:val="it-IT"/>
        </w:rPr>
      </w:pPr>
      <w:r>
        <w:rPr>
          <w:rFonts w:cs="Arial"/>
          <w:sz w:val="18"/>
          <w:lang w:val="it-IT"/>
        </w:rPr>
        <w:t>Novartis Pharma</w:t>
      </w:r>
    </w:p>
    <w:p w14:paraId="6E146730" w14:textId="77777777" w:rsidR="00F7268A" w:rsidRDefault="00F7268A" w:rsidP="00F7268A">
      <w:pPr>
        <w:tabs>
          <w:tab w:val="left" w:pos="720"/>
          <w:tab w:val="left" w:pos="1170"/>
        </w:tabs>
        <w:spacing w:line="240" w:lineRule="auto"/>
        <w:contextualSpacing/>
        <w:rPr>
          <w:rFonts w:cs="Arial"/>
          <w:sz w:val="18"/>
          <w:lang w:val="it-IT"/>
        </w:rPr>
      </w:pPr>
      <w:r>
        <w:rPr>
          <w:rFonts w:cs="Arial"/>
          <w:sz w:val="18"/>
          <w:lang w:val="it-IT"/>
        </w:rPr>
        <w:t>3479836649</w:t>
      </w:r>
    </w:p>
    <w:p w14:paraId="1FC79D47" w14:textId="77777777" w:rsidR="00F7268A" w:rsidRDefault="00380E47" w:rsidP="00F7268A">
      <w:pPr>
        <w:tabs>
          <w:tab w:val="left" w:pos="720"/>
          <w:tab w:val="left" w:pos="1170"/>
        </w:tabs>
        <w:spacing w:line="240" w:lineRule="auto"/>
        <w:contextualSpacing/>
        <w:rPr>
          <w:rFonts w:cs="Arial"/>
          <w:sz w:val="18"/>
          <w:lang w:val="it-IT"/>
        </w:rPr>
      </w:pPr>
      <w:hyperlink r:id="rId15" w:history="1">
        <w:r w:rsidR="00F7268A" w:rsidRPr="00A504B1">
          <w:rPr>
            <w:rStyle w:val="Collegamentoipertestuale"/>
            <w:rFonts w:cs="Arial"/>
            <w:sz w:val="18"/>
            <w:lang w:val="it-IT"/>
          </w:rPr>
          <w:t>chiara.gnocchi@novatis.com</w:t>
        </w:r>
      </w:hyperlink>
    </w:p>
    <w:p w14:paraId="47E98030" w14:textId="77777777" w:rsidR="00F7268A" w:rsidRDefault="00F7268A" w:rsidP="00F7268A">
      <w:pPr>
        <w:tabs>
          <w:tab w:val="left" w:pos="720"/>
          <w:tab w:val="left" w:pos="1170"/>
        </w:tabs>
        <w:spacing w:line="240" w:lineRule="auto"/>
        <w:contextualSpacing/>
        <w:rPr>
          <w:rFonts w:cs="Arial"/>
          <w:sz w:val="18"/>
          <w:lang w:val="it-IT"/>
        </w:rPr>
      </w:pPr>
    </w:p>
    <w:p w14:paraId="63E791A5" w14:textId="77777777" w:rsidR="00F7268A" w:rsidRPr="003962E5" w:rsidRDefault="00F7268A" w:rsidP="00F7268A">
      <w:pPr>
        <w:tabs>
          <w:tab w:val="left" w:pos="720"/>
          <w:tab w:val="left" w:pos="1170"/>
        </w:tabs>
        <w:spacing w:line="240" w:lineRule="auto"/>
        <w:contextualSpacing/>
        <w:rPr>
          <w:rFonts w:cs="Arial"/>
          <w:sz w:val="18"/>
          <w:lang w:val="it-IT"/>
        </w:rPr>
      </w:pPr>
      <w:r w:rsidRPr="003962E5">
        <w:rPr>
          <w:rFonts w:cs="Arial"/>
          <w:sz w:val="18"/>
          <w:lang w:val="it-IT"/>
        </w:rPr>
        <w:t xml:space="preserve">Ufficio Stampa </w:t>
      </w:r>
    </w:p>
    <w:p w14:paraId="45CB4979" w14:textId="77777777" w:rsidR="00F7268A" w:rsidRPr="003962E5" w:rsidRDefault="00F7268A" w:rsidP="00F7268A">
      <w:pPr>
        <w:tabs>
          <w:tab w:val="left" w:pos="720"/>
          <w:tab w:val="left" w:pos="1170"/>
        </w:tabs>
        <w:spacing w:line="240" w:lineRule="auto"/>
        <w:contextualSpacing/>
        <w:rPr>
          <w:rFonts w:cs="Arial"/>
          <w:sz w:val="18"/>
          <w:lang w:val="it-IT"/>
        </w:rPr>
      </w:pPr>
      <w:r w:rsidRPr="003962E5">
        <w:rPr>
          <w:rFonts w:cs="Arial"/>
          <w:sz w:val="18"/>
          <w:lang w:val="it-IT"/>
        </w:rPr>
        <w:t>Intermedia</w:t>
      </w:r>
    </w:p>
    <w:p w14:paraId="22CE7B54" w14:textId="77777777" w:rsidR="00F7268A" w:rsidRPr="003962E5" w:rsidRDefault="00F7268A" w:rsidP="00F7268A">
      <w:pPr>
        <w:tabs>
          <w:tab w:val="left" w:pos="720"/>
          <w:tab w:val="left" w:pos="1170"/>
        </w:tabs>
        <w:spacing w:line="240" w:lineRule="auto"/>
        <w:contextualSpacing/>
        <w:rPr>
          <w:rFonts w:cs="Arial"/>
          <w:sz w:val="18"/>
          <w:lang w:val="it-IT"/>
        </w:rPr>
      </w:pPr>
      <w:r w:rsidRPr="003962E5">
        <w:rPr>
          <w:rFonts w:cs="Arial"/>
          <w:sz w:val="18"/>
          <w:lang w:val="it-IT"/>
        </w:rPr>
        <w:t>3351892975 - 335265394</w:t>
      </w:r>
    </w:p>
    <w:p w14:paraId="665E0D38" w14:textId="77777777" w:rsidR="00F7268A" w:rsidRPr="00D63806" w:rsidRDefault="00380E47" w:rsidP="00F7268A">
      <w:pPr>
        <w:rPr>
          <w:lang w:val="it-IT"/>
        </w:rPr>
      </w:pPr>
      <w:hyperlink r:id="rId16" w:history="1">
        <w:r w:rsidR="00F7268A" w:rsidRPr="003962E5">
          <w:rPr>
            <w:rStyle w:val="Collegamentoipertestuale"/>
            <w:rFonts w:cs="Arial"/>
            <w:sz w:val="18"/>
            <w:lang w:val="it-IT"/>
          </w:rPr>
          <w:t>intermedia@intermedianews.it</w:t>
        </w:r>
      </w:hyperlink>
    </w:p>
    <w:p w14:paraId="412E1707" w14:textId="77777777" w:rsidR="00F7268A" w:rsidRPr="00DE31F6" w:rsidRDefault="00F7268A" w:rsidP="00F7268A">
      <w:pPr>
        <w:rPr>
          <w:lang w:val="it-IT"/>
        </w:rPr>
      </w:pPr>
    </w:p>
    <w:p w14:paraId="1C03ED81" w14:textId="77777777" w:rsidR="00F7268A" w:rsidRPr="00FB77EB" w:rsidRDefault="00F7268A" w:rsidP="00090D7E">
      <w:pPr>
        <w:spacing w:after="150" w:line="240" w:lineRule="auto"/>
        <w:jc w:val="both"/>
        <w:textAlignment w:val="baseline"/>
        <w:rPr>
          <w:lang w:val="it-IT"/>
        </w:rPr>
      </w:pPr>
    </w:p>
    <w:sectPr w:rsidR="00F7268A" w:rsidRPr="00FB77EB" w:rsidSect="00F961B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20"/>
      <w:pgMar w:top="494" w:right="1134" w:bottom="1559" w:left="243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98AB8" w14:textId="77777777" w:rsidR="00380E47" w:rsidRDefault="00380E47" w:rsidP="00852473">
      <w:pPr>
        <w:spacing w:line="240" w:lineRule="auto"/>
      </w:pPr>
      <w:r>
        <w:separator/>
      </w:r>
    </w:p>
  </w:endnote>
  <w:endnote w:type="continuationSeparator" w:id="0">
    <w:p w14:paraId="5E533FE1" w14:textId="77777777" w:rsidR="00380E47" w:rsidRDefault="00380E47" w:rsidP="00852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0FE3" w14:textId="77777777" w:rsidR="006E7F44" w:rsidRDefault="006E7F4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76"/>
      <w:gridCol w:w="2776"/>
      <w:gridCol w:w="2776"/>
    </w:tblGrid>
    <w:tr w:rsidR="3B09E7F6" w14:paraId="56D224F7" w14:textId="77777777" w:rsidTr="3B09E7F6">
      <w:tc>
        <w:tcPr>
          <w:tcW w:w="2776" w:type="dxa"/>
        </w:tcPr>
        <w:p w14:paraId="6CA4029B" w14:textId="77777777" w:rsidR="3B09E7F6" w:rsidRDefault="3B09E7F6" w:rsidP="3B09E7F6">
          <w:pPr>
            <w:pStyle w:val="Intestazione"/>
            <w:ind w:left="-115"/>
          </w:pPr>
        </w:p>
      </w:tc>
      <w:tc>
        <w:tcPr>
          <w:tcW w:w="2776" w:type="dxa"/>
        </w:tcPr>
        <w:p w14:paraId="6B04EEBD" w14:textId="77777777" w:rsidR="3B09E7F6" w:rsidRDefault="3B09E7F6" w:rsidP="3B09E7F6">
          <w:pPr>
            <w:pStyle w:val="Intestazione"/>
            <w:jc w:val="center"/>
          </w:pPr>
        </w:p>
      </w:tc>
      <w:tc>
        <w:tcPr>
          <w:tcW w:w="2776" w:type="dxa"/>
        </w:tcPr>
        <w:p w14:paraId="3747C15F" w14:textId="77777777" w:rsidR="3B09E7F6" w:rsidRDefault="3B09E7F6" w:rsidP="3B09E7F6">
          <w:pPr>
            <w:pStyle w:val="Intestazione"/>
            <w:ind w:right="-115"/>
            <w:jc w:val="right"/>
          </w:pPr>
        </w:p>
      </w:tc>
    </w:tr>
  </w:tbl>
  <w:p w14:paraId="56E0EE32" w14:textId="77777777" w:rsidR="3B09E7F6" w:rsidRDefault="3B09E7F6" w:rsidP="3B09E7F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76"/>
      <w:gridCol w:w="2776"/>
      <w:gridCol w:w="2776"/>
    </w:tblGrid>
    <w:tr w:rsidR="3B09E7F6" w14:paraId="5E2EA6D7" w14:textId="77777777" w:rsidTr="3B09E7F6">
      <w:tc>
        <w:tcPr>
          <w:tcW w:w="2776" w:type="dxa"/>
        </w:tcPr>
        <w:p w14:paraId="1025694B" w14:textId="77777777" w:rsidR="3B09E7F6" w:rsidRDefault="3B09E7F6" w:rsidP="3B09E7F6">
          <w:pPr>
            <w:pStyle w:val="Intestazione"/>
            <w:ind w:left="-115"/>
          </w:pPr>
        </w:p>
      </w:tc>
      <w:tc>
        <w:tcPr>
          <w:tcW w:w="2776" w:type="dxa"/>
        </w:tcPr>
        <w:p w14:paraId="06450E62" w14:textId="77777777" w:rsidR="3B09E7F6" w:rsidRDefault="3B09E7F6" w:rsidP="3B09E7F6">
          <w:pPr>
            <w:pStyle w:val="Intestazione"/>
            <w:jc w:val="center"/>
          </w:pPr>
        </w:p>
      </w:tc>
      <w:tc>
        <w:tcPr>
          <w:tcW w:w="2776" w:type="dxa"/>
        </w:tcPr>
        <w:p w14:paraId="2245788E" w14:textId="77777777" w:rsidR="3B09E7F6" w:rsidRDefault="3B09E7F6" w:rsidP="3B09E7F6">
          <w:pPr>
            <w:pStyle w:val="Intestazione"/>
            <w:ind w:right="-115"/>
            <w:jc w:val="right"/>
          </w:pPr>
        </w:p>
      </w:tc>
    </w:tr>
  </w:tbl>
  <w:p w14:paraId="3EC37C58" w14:textId="77777777" w:rsidR="3B09E7F6" w:rsidRDefault="3B09E7F6" w:rsidP="3B09E7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60160" w14:textId="77777777" w:rsidR="00380E47" w:rsidRDefault="00380E47" w:rsidP="00852473">
      <w:pPr>
        <w:spacing w:line="240" w:lineRule="auto"/>
      </w:pPr>
      <w:r>
        <w:separator/>
      </w:r>
    </w:p>
  </w:footnote>
  <w:footnote w:type="continuationSeparator" w:id="0">
    <w:p w14:paraId="48CA52D7" w14:textId="77777777" w:rsidR="00380E47" w:rsidRDefault="00380E47" w:rsidP="008524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9461" w14:textId="77777777" w:rsidR="006E7F44" w:rsidRDefault="006E7F4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7546" w14:textId="77777777" w:rsidR="00544F72" w:rsidRDefault="00544F72">
    <w:pPr>
      <w:pStyle w:val="Intestazione"/>
    </w:pPr>
  </w:p>
  <w:p w14:paraId="1155ACE3" w14:textId="77777777" w:rsidR="00544F72" w:rsidRDefault="00544F72">
    <w:pPr>
      <w:pStyle w:val="Intestazione"/>
    </w:pPr>
  </w:p>
  <w:p w14:paraId="1ED64B9F" w14:textId="77777777" w:rsidR="00544F72" w:rsidRDefault="00544F72">
    <w:pPr>
      <w:pStyle w:val="Intestazione"/>
    </w:pPr>
  </w:p>
  <w:p w14:paraId="1E1FDBBA" w14:textId="77777777" w:rsidR="00544F72" w:rsidRDefault="00544F7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656D" w14:textId="77777777" w:rsidR="00F961B0" w:rsidRDefault="00254C56">
    <w:pPr>
      <w:pStyle w:val="Intestazione"/>
    </w:pPr>
    <w:r w:rsidRPr="00254C56">
      <w:rPr>
        <w:noProof/>
      </w:rPr>
      <w:drawing>
        <wp:anchor distT="0" distB="0" distL="114300" distR="114300" simplePos="0" relativeHeight="251659264" behindDoc="0" locked="0" layoutInCell="1" allowOverlap="1" wp14:anchorId="0163E82E" wp14:editId="70CEDA31">
          <wp:simplePos x="0" y="0"/>
          <wp:positionH relativeFrom="page">
            <wp:posOffset>1238250</wp:posOffset>
          </wp:positionH>
          <wp:positionV relativeFrom="page">
            <wp:posOffset>310515</wp:posOffset>
          </wp:positionV>
          <wp:extent cx="5943600" cy="15748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ter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74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4C5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956D75" wp14:editId="6194F6D8">
              <wp:simplePos x="0" y="0"/>
              <wp:positionH relativeFrom="column">
                <wp:posOffset>-1333500</wp:posOffset>
              </wp:positionH>
              <wp:positionV relativeFrom="paragraph">
                <wp:posOffset>-57150</wp:posOffset>
              </wp:positionV>
              <wp:extent cx="1259840" cy="163830"/>
              <wp:effectExtent l="0" t="0" r="0" b="1270"/>
              <wp:wrapNone/>
              <wp:docPr id="10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9840" cy="16383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5120AB" id="Rectangle 1" o:spid="_x0000_s1026" style="position:absolute;margin-left:-105pt;margin-top:-4.5pt;width:99.2pt;height:1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" fillcolor="#8d1f1b [3207]" stroked="f" strokeweight="1pt">
              <v:stroke endcap="square"/>
            </v:rect>
          </w:pict>
        </mc:Fallback>
      </mc:AlternateContent>
    </w:r>
    <w:r w:rsidRPr="00254C5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CEB867" wp14:editId="57850B87">
              <wp:simplePos x="0" y="0"/>
              <wp:positionH relativeFrom="page">
                <wp:posOffset>5350510</wp:posOffset>
              </wp:positionH>
              <wp:positionV relativeFrom="page">
                <wp:posOffset>826135</wp:posOffset>
              </wp:positionV>
              <wp:extent cx="1979930" cy="1619885"/>
              <wp:effectExtent l="0" t="0" r="1270" b="762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993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B59716" w14:textId="77777777" w:rsidR="00254C56" w:rsidRPr="006D6B53" w:rsidRDefault="00254C56" w:rsidP="00254C56">
                          <w:pPr>
                            <w:spacing w:line="200" w:lineRule="atLeast"/>
                            <w:rPr>
                              <w:b/>
                              <w:bCs/>
                              <w:color w:val="0460A9"/>
                              <w:sz w:val="16"/>
                              <w:szCs w:val="16"/>
                              <w:lang w:val="fr-CH"/>
                            </w:rPr>
                          </w:pPr>
                          <w:r w:rsidRPr="006D6B53">
                            <w:rPr>
                              <w:b/>
                              <w:bCs/>
                              <w:color w:val="0460A9"/>
                              <w:sz w:val="16"/>
                              <w:szCs w:val="16"/>
                              <w:lang w:val="fr-CH"/>
                            </w:rPr>
                            <w:t>Novartis International AG</w:t>
                          </w:r>
                          <w:r w:rsidRPr="006D6B53">
                            <w:rPr>
                              <w:b/>
                              <w:bCs/>
                              <w:color w:val="0460A9"/>
                              <w:sz w:val="16"/>
                              <w:szCs w:val="16"/>
                              <w:lang w:val="fr-CH"/>
                            </w:rPr>
                            <w:br/>
                            <w:t xml:space="preserve">Novartis Global Communications </w:t>
                          </w:r>
                          <w:r w:rsidRPr="006D6B53">
                            <w:rPr>
                              <w:sz w:val="16"/>
                              <w:szCs w:val="16"/>
                              <w:lang w:val="fr-CH"/>
                            </w:rPr>
                            <w:br/>
                            <w:t>CH-4002 Basel</w:t>
                          </w:r>
                          <w:r w:rsidRPr="006D6B53">
                            <w:rPr>
                              <w:sz w:val="16"/>
                              <w:szCs w:val="16"/>
                              <w:lang w:val="fr-CH"/>
                            </w:rPr>
                            <w:br/>
                            <w:t>Switzerland</w:t>
                          </w:r>
                          <w:r w:rsidRPr="006D6B53">
                            <w:rPr>
                              <w:b/>
                              <w:bCs/>
                              <w:color w:val="0460A9"/>
                              <w:sz w:val="16"/>
                              <w:szCs w:val="16"/>
                              <w:lang w:val="fr-CH"/>
                            </w:rPr>
                            <w:t xml:space="preserve"> </w:t>
                          </w:r>
                        </w:p>
                        <w:p w14:paraId="1B720A93" w14:textId="77777777" w:rsidR="00254C56" w:rsidRPr="006D6B53" w:rsidRDefault="00254C56" w:rsidP="00254C56">
                          <w:pPr>
                            <w:spacing w:line="200" w:lineRule="atLeast"/>
                            <w:rPr>
                              <w:b/>
                              <w:bCs/>
                              <w:color w:val="0460A9"/>
                              <w:sz w:val="16"/>
                              <w:szCs w:val="16"/>
                              <w:lang w:val="fr-CH"/>
                            </w:rPr>
                          </w:pPr>
                        </w:p>
                        <w:p w14:paraId="010C6C3E" w14:textId="77777777" w:rsidR="00254C56" w:rsidRDefault="00380E47" w:rsidP="00254C56">
                          <w:pPr>
                            <w:spacing w:line="200" w:lineRule="atLeas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fr-FR"/>
                            </w:rPr>
                          </w:pPr>
                          <w:hyperlink r:id="rId2" w:history="1">
                            <w:r w:rsidR="00254C56" w:rsidRPr="006D6B53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http://www.novartis.com</w:t>
                            </w:r>
                          </w:hyperlink>
                        </w:p>
                        <w:p w14:paraId="54A13AE6" w14:textId="77777777" w:rsidR="00254C56" w:rsidRPr="007B32D1" w:rsidRDefault="00254C56" w:rsidP="00254C56">
                          <w:pPr>
                            <w:spacing w:line="200" w:lineRule="atLeast"/>
                            <w:rPr>
                              <w:sz w:val="16"/>
                              <w:szCs w:val="16"/>
                              <w:lang w:val="fr-CH"/>
                            </w:rPr>
                          </w:pPr>
                          <w:r w:rsidRPr="007B32D1">
                            <w:rPr>
                              <w:sz w:val="16"/>
                              <w:szCs w:val="16"/>
                              <w:lang w:val="fr-CH"/>
                            </w:rPr>
                            <w:t>https://twitter.com/novartisnews</w:t>
                          </w:r>
                        </w:p>
                        <w:p w14:paraId="485D621F" w14:textId="77777777" w:rsidR="00254C56" w:rsidRPr="007B32D1" w:rsidRDefault="00254C56" w:rsidP="00254C56">
                          <w:pPr>
                            <w:rPr>
                              <w:lang w:val="fr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CEB86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21.3pt;margin-top:65.05pt;width:155.9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" filled="f" stroked="f">
              <v:textbox inset="0,0,0,0">
                <w:txbxContent>
                  <w:p w14:paraId="52B59716" w14:textId="77777777" w:rsidR="00254C56" w:rsidRPr="006D6B53" w:rsidRDefault="00254C56" w:rsidP="00254C56">
                    <w:pPr>
                      <w:spacing w:line="200" w:lineRule="atLeast"/>
                      <w:rPr>
                        <w:b/>
                        <w:bCs/>
                        <w:color w:val="0460A9"/>
                        <w:sz w:val="16"/>
                        <w:szCs w:val="16"/>
                        <w:lang w:val="fr-CH"/>
                      </w:rPr>
                    </w:pPr>
                    <w:r w:rsidRPr="006D6B53">
                      <w:rPr>
                        <w:b/>
                        <w:bCs/>
                        <w:color w:val="0460A9"/>
                        <w:sz w:val="16"/>
                        <w:szCs w:val="16"/>
                        <w:lang w:val="fr-CH"/>
                      </w:rPr>
                      <w:t>Novartis International AG</w:t>
                    </w:r>
                    <w:r w:rsidRPr="006D6B53">
                      <w:rPr>
                        <w:b/>
                        <w:bCs/>
                        <w:color w:val="0460A9"/>
                        <w:sz w:val="16"/>
                        <w:szCs w:val="16"/>
                        <w:lang w:val="fr-CH"/>
                      </w:rPr>
                      <w:br/>
                      <w:t xml:space="preserve">Novartis Global Communications </w:t>
                    </w:r>
                    <w:r w:rsidRPr="006D6B53">
                      <w:rPr>
                        <w:sz w:val="16"/>
                        <w:szCs w:val="16"/>
                        <w:lang w:val="fr-CH"/>
                      </w:rPr>
                      <w:br/>
                      <w:t>CH-4002 Basel</w:t>
                    </w:r>
                    <w:r w:rsidRPr="006D6B53">
                      <w:rPr>
                        <w:sz w:val="16"/>
                        <w:szCs w:val="16"/>
                        <w:lang w:val="fr-CH"/>
                      </w:rPr>
                      <w:br/>
                    </w:r>
                    <w:proofErr w:type="spellStart"/>
                    <w:r w:rsidRPr="006D6B53">
                      <w:rPr>
                        <w:sz w:val="16"/>
                        <w:szCs w:val="16"/>
                        <w:lang w:val="fr-CH"/>
                      </w:rPr>
                      <w:t>Switzerland</w:t>
                    </w:r>
                    <w:proofErr w:type="spellEnd"/>
                    <w:r w:rsidRPr="006D6B53">
                      <w:rPr>
                        <w:b/>
                        <w:bCs/>
                        <w:color w:val="0460A9"/>
                        <w:sz w:val="16"/>
                        <w:szCs w:val="16"/>
                        <w:lang w:val="fr-CH"/>
                      </w:rPr>
                      <w:t xml:space="preserve"> </w:t>
                    </w:r>
                  </w:p>
                  <w:p w14:paraId="1B720A93" w14:textId="77777777" w:rsidR="00254C56" w:rsidRPr="006D6B53" w:rsidRDefault="00254C56" w:rsidP="00254C56">
                    <w:pPr>
                      <w:spacing w:line="200" w:lineRule="atLeast"/>
                      <w:rPr>
                        <w:b/>
                        <w:bCs/>
                        <w:color w:val="0460A9"/>
                        <w:sz w:val="16"/>
                        <w:szCs w:val="16"/>
                        <w:lang w:val="fr-CH"/>
                      </w:rPr>
                    </w:pPr>
                  </w:p>
                  <w:p w14:paraId="010C6C3E" w14:textId="77777777" w:rsidR="00254C56" w:rsidRDefault="00DF7013" w:rsidP="00254C56">
                    <w:pPr>
                      <w:spacing w:line="200" w:lineRule="atLeast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</w:pPr>
                    <w:hyperlink r:id="rId3" w:history="1">
                      <w:r w:rsidR="00254C56" w:rsidRPr="006D6B53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fr-FR"/>
                        </w:rPr>
                        <w:t>http://www.novartis.com</w:t>
                      </w:r>
                    </w:hyperlink>
                  </w:p>
                  <w:p w14:paraId="54A13AE6" w14:textId="77777777" w:rsidR="00254C56" w:rsidRPr="007B32D1" w:rsidRDefault="00254C56" w:rsidP="00254C56">
                    <w:pPr>
                      <w:spacing w:line="200" w:lineRule="atLeast"/>
                      <w:rPr>
                        <w:sz w:val="16"/>
                        <w:szCs w:val="16"/>
                        <w:lang w:val="fr-CH"/>
                      </w:rPr>
                    </w:pPr>
                    <w:r w:rsidRPr="007B32D1">
                      <w:rPr>
                        <w:sz w:val="16"/>
                        <w:szCs w:val="16"/>
                        <w:lang w:val="fr-CH"/>
                      </w:rPr>
                      <w:t>https://twitter.com/novartisnews</w:t>
                    </w:r>
                  </w:p>
                  <w:p w14:paraId="485D621F" w14:textId="77777777" w:rsidR="00254C56" w:rsidRPr="007B32D1" w:rsidRDefault="00254C56" w:rsidP="00254C56">
                    <w:pPr>
                      <w:rPr>
                        <w:lang w:val="fr-CH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254C56">
      <w:rPr>
        <w:noProof/>
      </w:rPr>
      <w:drawing>
        <wp:anchor distT="0" distB="0" distL="114300" distR="114300" simplePos="0" relativeHeight="251662336" behindDoc="0" locked="0" layoutInCell="1" allowOverlap="1" wp14:anchorId="26181828" wp14:editId="05636F68">
          <wp:simplePos x="0" y="0"/>
          <wp:positionH relativeFrom="page">
            <wp:posOffset>1474470</wp:posOffset>
          </wp:positionH>
          <wp:positionV relativeFrom="page">
            <wp:posOffset>725170</wp:posOffset>
          </wp:positionV>
          <wp:extent cx="1810385" cy="330200"/>
          <wp:effectExtent l="0" t="0" r="0" b="0"/>
          <wp:wrapNone/>
          <wp:docPr id="31" name="Picture 31" title="Novar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85" cy="330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066D7"/>
    <w:multiLevelType w:val="hybridMultilevel"/>
    <w:tmpl w:val="01B0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77F0E"/>
    <w:multiLevelType w:val="hybridMultilevel"/>
    <w:tmpl w:val="21FC121C"/>
    <w:lvl w:ilvl="0" w:tplc="CA6646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21FA"/>
    <w:multiLevelType w:val="hybridMultilevel"/>
    <w:tmpl w:val="B268D06C"/>
    <w:lvl w:ilvl="0" w:tplc="F0E4EE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E38AD"/>
    <w:multiLevelType w:val="hybridMultilevel"/>
    <w:tmpl w:val="707A93F2"/>
    <w:lvl w:ilvl="0" w:tplc="CA6646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11D80"/>
    <w:multiLevelType w:val="hybridMultilevel"/>
    <w:tmpl w:val="CE26478E"/>
    <w:lvl w:ilvl="0" w:tplc="CA6646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1900096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55E4A"/>
    <w:multiLevelType w:val="hybridMultilevel"/>
    <w:tmpl w:val="34E80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844AA"/>
    <w:multiLevelType w:val="hybridMultilevel"/>
    <w:tmpl w:val="3872B566"/>
    <w:lvl w:ilvl="0" w:tplc="B7F4986A">
      <w:start w:val="1"/>
      <w:numFmt w:val="decimal"/>
      <w:pStyle w:val="Numbers"/>
      <w:lvlText w:val="%1."/>
      <w:lvlJc w:val="left"/>
      <w:pPr>
        <w:ind w:left="288" w:hanging="288"/>
      </w:pPr>
      <w:rPr>
        <w:rFonts w:ascii="Arial" w:hAnsi="Arial" w:hint="default"/>
      </w:rPr>
    </w:lvl>
    <w:lvl w:ilvl="1" w:tplc="B23A0BE6">
      <w:start w:val="1"/>
      <w:numFmt w:val="lowerLetter"/>
      <w:lvlText w:val="%2."/>
      <w:lvlJc w:val="left"/>
      <w:pPr>
        <w:ind w:left="576" w:hanging="288"/>
      </w:pPr>
      <w:rPr>
        <w:rFonts w:ascii="Arial" w:hAnsi="Arial" w:hint="default"/>
      </w:rPr>
    </w:lvl>
    <w:lvl w:ilvl="2" w:tplc="FC7A6CC0">
      <w:start w:val="1"/>
      <w:numFmt w:val="lowerRoman"/>
      <w:lvlText w:val="%3."/>
      <w:lvlJc w:val="left"/>
      <w:pPr>
        <w:ind w:left="864" w:hanging="288"/>
      </w:pPr>
      <w:rPr>
        <w:rFonts w:ascii="Arial" w:hAnsi="Arial" w:hint="default"/>
      </w:rPr>
    </w:lvl>
    <w:lvl w:ilvl="3" w:tplc="9096561A">
      <w:start w:val="1"/>
      <w:numFmt w:val="decimal"/>
      <w:lvlText w:val="%4)"/>
      <w:lvlJc w:val="left"/>
      <w:pPr>
        <w:ind w:left="1152" w:hanging="288"/>
      </w:pPr>
      <w:rPr>
        <w:rFonts w:ascii="Arial" w:hAnsi="Arial" w:hint="default"/>
      </w:rPr>
    </w:lvl>
    <w:lvl w:ilvl="4" w:tplc="99909B2C">
      <w:start w:val="1"/>
      <w:numFmt w:val="lowerLetter"/>
      <w:lvlText w:val="%5)"/>
      <w:lvlJc w:val="left"/>
      <w:pPr>
        <w:ind w:left="1440" w:hanging="288"/>
      </w:pPr>
      <w:rPr>
        <w:rFonts w:ascii="Arial" w:hAnsi="Arial" w:hint="default"/>
      </w:rPr>
    </w:lvl>
    <w:lvl w:ilvl="5" w:tplc="7A22DA7C">
      <w:start w:val="1"/>
      <w:numFmt w:val="lowerRoman"/>
      <w:lvlText w:val="%6)"/>
      <w:lvlJc w:val="left"/>
      <w:pPr>
        <w:ind w:left="1728" w:hanging="288"/>
      </w:pPr>
      <w:rPr>
        <w:rFonts w:ascii="Arial" w:hAnsi="Arial" w:hint="default"/>
      </w:rPr>
    </w:lvl>
    <w:lvl w:ilvl="6" w:tplc="5972EACC">
      <w:start w:val="1"/>
      <w:numFmt w:val="decimal"/>
      <w:lvlText w:val="(%7)"/>
      <w:lvlJc w:val="left"/>
      <w:pPr>
        <w:ind w:left="2016" w:hanging="288"/>
      </w:pPr>
      <w:rPr>
        <w:rFonts w:ascii="Arial" w:hAnsi="Arial" w:hint="default"/>
      </w:rPr>
    </w:lvl>
    <w:lvl w:ilvl="7" w:tplc="2CAC1614">
      <w:start w:val="1"/>
      <w:numFmt w:val="lowerLetter"/>
      <w:lvlText w:val="(%8)"/>
      <w:lvlJc w:val="left"/>
      <w:pPr>
        <w:ind w:left="2304" w:hanging="288"/>
      </w:pPr>
      <w:rPr>
        <w:rFonts w:ascii="Arial" w:hAnsi="Arial" w:hint="default"/>
      </w:rPr>
    </w:lvl>
    <w:lvl w:ilvl="8" w:tplc="61D0C016">
      <w:start w:val="1"/>
      <w:numFmt w:val="lowerRoman"/>
      <w:lvlText w:val="(%9)"/>
      <w:lvlJc w:val="left"/>
      <w:pPr>
        <w:ind w:left="2592" w:hanging="288"/>
      </w:pPr>
      <w:rPr>
        <w:rFonts w:ascii="Arial" w:hAnsi="Arial" w:hint="default"/>
      </w:rPr>
    </w:lvl>
  </w:abstractNum>
  <w:abstractNum w:abstractNumId="7" w15:restartNumberingAfterBreak="0">
    <w:nsid w:val="392323D3"/>
    <w:multiLevelType w:val="hybridMultilevel"/>
    <w:tmpl w:val="865AA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02A5"/>
    <w:multiLevelType w:val="hybridMultilevel"/>
    <w:tmpl w:val="0FD83C12"/>
    <w:lvl w:ilvl="0" w:tplc="CA6646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64ADC"/>
    <w:multiLevelType w:val="hybridMultilevel"/>
    <w:tmpl w:val="4412C9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61CB5"/>
    <w:multiLevelType w:val="hybridMultilevel"/>
    <w:tmpl w:val="1F7C1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BF3D23"/>
    <w:multiLevelType w:val="hybridMultilevel"/>
    <w:tmpl w:val="61B27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5A7032"/>
    <w:multiLevelType w:val="hybridMultilevel"/>
    <w:tmpl w:val="EF7AA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26EDF"/>
    <w:multiLevelType w:val="hybridMultilevel"/>
    <w:tmpl w:val="63924C2A"/>
    <w:lvl w:ilvl="0" w:tplc="4BB826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828B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DE13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9868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1C76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523E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0B2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CAD8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FA38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0A52D2E"/>
    <w:multiLevelType w:val="multilevel"/>
    <w:tmpl w:val="E884B62C"/>
    <w:lvl w:ilvl="0">
      <w:start w:val="1"/>
      <w:numFmt w:val="decimal"/>
      <w:lvlText w:val="%1."/>
      <w:lvlJc w:val="left"/>
      <w:pPr>
        <w:tabs>
          <w:tab w:val="num" w:pos="2790"/>
        </w:tabs>
        <w:ind w:left="279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211E23"/>
    <w:multiLevelType w:val="multilevel"/>
    <w:tmpl w:val="70F4BC5E"/>
    <w:lvl w:ilvl="0">
      <w:start w:val="1"/>
      <w:numFmt w:val="bullet"/>
      <w:pStyle w:val="Bullets"/>
      <w:lvlText w:val="•"/>
      <w:lvlJc w:val="left"/>
      <w:pPr>
        <w:ind w:left="216" w:hanging="216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432" w:hanging="216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648" w:hanging="216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864" w:hanging="216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080" w:hanging="216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296" w:hanging="216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1512" w:hanging="216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1728" w:hanging="216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1944" w:hanging="216"/>
      </w:pPr>
      <w:rPr>
        <w:rFonts w:ascii="Arial" w:hAnsi="Arial" w:hint="default"/>
      </w:rPr>
    </w:lvl>
  </w:abstractNum>
  <w:abstractNum w:abstractNumId="16" w15:restartNumberingAfterBreak="0">
    <w:nsid w:val="79383A24"/>
    <w:multiLevelType w:val="hybridMultilevel"/>
    <w:tmpl w:val="1262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01C23"/>
    <w:multiLevelType w:val="hybridMultilevel"/>
    <w:tmpl w:val="6D54D0CE"/>
    <w:lvl w:ilvl="0" w:tplc="2778B496">
      <w:start w:val="1"/>
      <w:numFmt w:val="decimal"/>
      <w:pStyle w:val="References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17"/>
  </w:num>
  <w:num w:numId="7">
    <w:abstractNumId w:val="5"/>
  </w:num>
  <w:num w:numId="8">
    <w:abstractNumId w:val="15"/>
  </w:num>
  <w:num w:numId="9">
    <w:abstractNumId w:val="15"/>
  </w:num>
  <w:num w:numId="10">
    <w:abstractNumId w:val="16"/>
  </w:num>
  <w:num w:numId="11">
    <w:abstractNumId w:val="15"/>
  </w:num>
  <w:num w:numId="12">
    <w:abstractNumId w:val="3"/>
  </w:num>
  <w:num w:numId="13">
    <w:abstractNumId w:val="1"/>
  </w:num>
  <w:num w:numId="14">
    <w:abstractNumId w:val="13"/>
  </w:num>
  <w:num w:numId="15">
    <w:abstractNumId w:val="8"/>
  </w:num>
  <w:num w:numId="16">
    <w:abstractNumId w:val="4"/>
  </w:num>
  <w:num w:numId="17">
    <w:abstractNumId w:val="15"/>
  </w:num>
  <w:num w:numId="18">
    <w:abstractNumId w:val="0"/>
  </w:num>
  <w:num w:numId="19">
    <w:abstractNumId w:val="10"/>
  </w:num>
  <w:num w:numId="20">
    <w:abstractNumId w:val="2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de-CH" w:vendorID="64" w:dllVersion="4096" w:nlCheck="1" w:checkStyle="0"/>
  <w:activeWritingStyle w:appName="MSWord" w:lang="it-IT" w:vendorID="64" w:dllVersion="0" w:nlCheck="1" w:checkStyle="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C9A"/>
    <w:rsid w:val="00002B8C"/>
    <w:rsid w:val="00004069"/>
    <w:rsid w:val="00011A57"/>
    <w:rsid w:val="00014538"/>
    <w:rsid w:val="00014A84"/>
    <w:rsid w:val="00021196"/>
    <w:rsid w:val="00021311"/>
    <w:rsid w:val="00024307"/>
    <w:rsid w:val="0002632F"/>
    <w:rsid w:val="00026DA5"/>
    <w:rsid w:val="0003380D"/>
    <w:rsid w:val="0003416D"/>
    <w:rsid w:val="00036D85"/>
    <w:rsid w:val="00042BCE"/>
    <w:rsid w:val="000441AD"/>
    <w:rsid w:val="0005103C"/>
    <w:rsid w:val="000537F4"/>
    <w:rsid w:val="000546C3"/>
    <w:rsid w:val="000547F2"/>
    <w:rsid w:val="00054CD0"/>
    <w:rsid w:val="00060828"/>
    <w:rsid w:val="00061619"/>
    <w:rsid w:val="00061DB3"/>
    <w:rsid w:val="00063081"/>
    <w:rsid w:val="0006320F"/>
    <w:rsid w:val="00063B83"/>
    <w:rsid w:val="00064689"/>
    <w:rsid w:val="00064796"/>
    <w:rsid w:val="00071D38"/>
    <w:rsid w:val="00071FAF"/>
    <w:rsid w:val="0007210C"/>
    <w:rsid w:val="0007395A"/>
    <w:rsid w:val="00073F5F"/>
    <w:rsid w:val="00076006"/>
    <w:rsid w:val="00080521"/>
    <w:rsid w:val="00080AB8"/>
    <w:rsid w:val="000837A5"/>
    <w:rsid w:val="0008533B"/>
    <w:rsid w:val="00085D4B"/>
    <w:rsid w:val="000868BB"/>
    <w:rsid w:val="00087088"/>
    <w:rsid w:val="00090D7E"/>
    <w:rsid w:val="00092872"/>
    <w:rsid w:val="00093C16"/>
    <w:rsid w:val="00094F37"/>
    <w:rsid w:val="00096675"/>
    <w:rsid w:val="000A1127"/>
    <w:rsid w:val="000A141D"/>
    <w:rsid w:val="000C24DB"/>
    <w:rsid w:val="000C3CE8"/>
    <w:rsid w:val="000C3E35"/>
    <w:rsid w:val="000C42B2"/>
    <w:rsid w:val="000C5811"/>
    <w:rsid w:val="000C65D2"/>
    <w:rsid w:val="000D1850"/>
    <w:rsid w:val="000D18A5"/>
    <w:rsid w:val="000E020B"/>
    <w:rsid w:val="000E640F"/>
    <w:rsid w:val="000E6E2E"/>
    <w:rsid w:val="000E6EC1"/>
    <w:rsid w:val="000E732A"/>
    <w:rsid w:val="000F0874"/>
    <w:rsid w:val="000F2077"/>
    <w:rsid w:val="000F22B4"/>
    <w:rsid w:val="000F34B2"/>
    <w:rsid w:val="000F538F"/>
    <w:rsid w:val="000F5FF5"/>
    <w:rsid w:val="00106FA7"/>
    <w:rsid w:val="00113E4D"/>
    <w:rsid w:val="001176D3"/>
    <w:rsid w:val="00123ED0"/>
    <w:rsid w:val="00125B80"/>
    <w:rsid w:val="00126EC9"/>
    <w:rsid w:val="00127A3C"/>
    <w:rsid w:val="001364A6"/>
    <w:rsid w:val="00141B72"/>
    <w:rsid w:val="001479D2"/>
    <w:rsid w:val="00147BA9"/>
    <w:rsid w:val="0015132B"/>
    <w:rsid w:val="00151C07"/>
    <w:rsid w:val="00151D02"/>
    <w:rsid w:val="0015698F"/>
    <w:rsid w:val="001657A3"/>
    <w:rsid w:val="00172840"/>
    <w:rsid w:val="00176443"/>
    <w:rsid w:val="00183935"/>
    <w:rsid w:val="001872B9"/>
    <w:rsid w:val="0019436E"/>
    <w:rsid w:val="001A1AB5"/>
    <w:rsid w:val="001A2A2E"/>
    <w:rsid w:val="001A2A94"/>
    <w:rsid w:val="001A2ACE"/>
    <w:rsid w:val="001A4237"/>
    <w:rsid w:val="001B3648"/>
    <w:rsid w:val="001C07FF"/>
    <w:rsid w:val="001C26FE"/>
    <w:rsid w:val="001C2B69"/>
    <w:rsid w:val="001C397B"/>
    <w:rsid w:val="001C3E01"/>
    <w:rsid w:val="001C40B0"/>
    <w:rsid w:val="001C4B0C"/>
    <w:rsid w:val="001C51C2"/>
    <w:rsid w:val="001C61DD"/>
    <w:rsid w:val="001C7B81"/>
    <w:rsid w:val="001C7EF6"/>
    <w:rsid w:val="001D3CE7"/>
    <w:rsid w:val="001D5C22"/>
    <w:rsid w:val="001D693C"/>
    <w:rsid w:val="001E440C"/>
    <w:rsid w:val="001F071C"/>
    <w:rsid w:val="001F6EAD"/>
    <w:rsid w:val="00204FB9"/>
    <w:rsid w:val="00217C53"/>
    <w:rsid w:val="00223579"/>
    <w:rsid w:val="002243F8"/>
    <w:rsid w:val="00230FAD"/>
    <w:rsid w:val="00231213"/>
    <w:rsid w:val="00235E95"/>
    <w:rsid w:val="00237AF4"/>
    <w:rsid w:val="00245F9A"/>
    <w:rsid w:val="00252DE9"/>
    <w:rsid w:val="0025337E"/>
    <w:rsid w:val="00253485"/>
    <w:rsid w:val="00254C56"/>
    <w:rsid w:val="00255F6F"/>
    <w:rsid w:val="00256ADC"/>
    <w:rsid w:val="00261521"/>
    <w:rsid w:val="0026374B"/>
    <w:rsid w:val="00271B54"/>
    <w:rsid w:val="00274C1D"/>
    <w:rsid w:val="0027732F"/>
    <w:rsid w:val="00277A35"/>
    <w:rsid w:val="00280B88"/>
    <w:rsid w:val="00283351"/>
    <w:rsid w:val="00284BB5"/>
    <w:rsid w:val="00286168"/>
    <w:rsid w:val="002870E7"/>
    <w:rsid w:val="002875BE"/>
    <w:rsid w:val="00291D42"/>
    <w:rsid w:val="002944EA"/>
    <w:rsid w:val="0029670F"/>
    <w:rsid w:val="00296FFA"/>
    <w:rsid w:val="002A228B"/>
    <w:rsid w:val="002A4987"/>
    <w:rsid w:val="002B06F3"/>
    <w:rsid w:val="002B4696"/>
    <w:rsid w:val="002B5038"/>
    <w:rsid w:val="002C0C17"/>
    <w:rsid w:val="002C1237"/>
    <w:rsid w:val="002C2576"/>
    <w:rsid w:val="002C2882"/>
    <w:rsid w:val="002C6EC4"/>
    <w:rsid w:val="002D0318"/>
    <w:rsid w:val="002D5077"/>
    <w:rsid w:val="002D73FE"/>
    <w:rsid w:val="002E1095"/>
    <w:rsid w:val="002E1590"/>
    <w:rsid w:val="002E36A3"/>
    <w:rsid w:val="002E3A1C"/>
    <w:rsid w:val="002E3DD2"/>
    <w:rsid w:val="002F149B"/>
    <w:rsid w:val="002F5BFE"/>
    <w:rsid w:val="002F6202"/>
    <w:rsid w:val="00311F37"/>
    <w:rsid w:val="00312699"/>
    <w:rsid w:val="003356B0"/>
    <w:rsid w:val="003359BE"/>
    <w:rsid w:val="00337E6C"/>
    <w:rsid w:val="003411A3"/>
    <w:rsid w:val="00342C3C"/>
    <w:rsid w:val="003432D8"/>
    <w:rsid w:val="00346385"/>
    <w:rsid w:val="00356D39"/>
    <w:rsid w:val="00363008"/>
    <w:rsid w:val="00371F77"/>
    <w:rsid w:val="00377829"/>
    <w:rsid w:val="00380E47"/>
    <w:rsid w:val="003853A2"/>
    <w:rsid w:val="0039000E"/>
    <w:rsid w:val="00391915"/>
    <w:rsid w:val="0039409B"/>
    <w:rsid w:val="00394A6C"/>
    <w:rsid w:val="00397EAE"/>
    <w:rsid w:val="003A40A0"/>
    <w:rsid w:val="003A41B8"/>
    <w:rsid w:val="003A61F7"/>
    <w:rsid w:val="003A6738"/>
    <w:rsid w:val="003B0BFA"/>
    <w:rsid w:val="003B173F"/>
    <w:rsid w:val="003B3C78"/>
    <w:rsid w:val="003C420A"/>
    <w:rsid w:val="003C6693"/>
    <w:rsid w:val="003D65A3"/>
    <w:rsid w:val="003D6FD7"/>
    <w:rsid w:val="003E3B9E"/>
    <w:rsid w:val="003F129D"/>
    <w:rsid w:val="003F1EAD"/>
    <w:rsid w:val="003F28DE"/>
    <w:rsid w:val="003F403A"/>
    <w:rsid w:val="003F465B"/>
    <w:rsid w:val="003F531B"/>
    <w:rsid w:val="004002D2"/>
    <w:rsid w:val="0040168F"/>
    <w:rsid w:val="00402923"/>
    <w:rsid w:val="0041016B"/>
    <w:rsid w:val="004106E2"/>
    <w:rsid w:val="00411CEB"/>
    <w:rsid w:val="004129FC"/>
    <w:rsid w:val="00414C71"/>
    <w:rsid w:val="0042448E"/>
    <w:rsid w:val="004274F9"/>
    <w:rsid w:val="004278CA"/>
    <w:rsid w:val="004306F9"/>
    <w:rsid w:val="0043382B"/>
    <w:rsid w:val="0043535D"/>
    <w:rsid w:val="0043671A"/>
    <w:rsid w:val="00442EEE"/>
    <w:rsid w:val="004450D5"/>
    <w:rsid w:val="00453B1C"/>
    <w:rsid w:val="0045400D"/>
    <w:rsid w:val="0045695F"/>
    <w:rsid w:val="004573C5"/>
    <w:rsid w:val="00464C12"/>
    <w:rsid w:val="00466ECF"/>
    <w:rsid w:val="00470352"/>
    <w:rsid w:val="004712B1"/>
    <w:rsid w:val="004725AE"/>
    <w:rsid w:val="004753A8"/>
    <w:rsid w:val="004829F1"/>
    <w:rsid w:val="0048480F"/>
    <w:rsid w:val="00493E99"/>
    <w:rsid w:val="004940F2"/>
    <w:rsid w:val="00494EF2"/>
    <w:rsid w:val="00496FEE"/>
    <w:rsid w:val="004A2680"/>
    <w:rsid w:val="004A5321"/>
    <w:rsid w:val="004B0719"/>
    <w:rsid w:val="004B3304"/>
    <w:rsid w:val="004B64E1"/>
    <w:rsid w:val="004B6F2A"/>
    <w:rsid w:val="004C1971"/>
    <w:rsid w:val="004C6BF3"/>
    <w:rsid w:val="004D1676"/>
    <w:rsid w:val="004D3388"/>
    <w:rsid w:val="004D41E8"/>
    <w:rsid w:val="004D5189"/>
    <w:rsid w:val="004D7621"/>
    <w:rsid w:val="004E40A9"/>
    <w:rsid w:val="00504D02"/>
    <w:rsid w:val="00505B0B"/>
    <w:rsid w:val="005075F9"/>
    <w:rsid w:val="00512D8A"/>
    <w:rsid w:val="00523411"/>
    <w:rsid w:val="00524158"/>
    <w:rsid w:val="00527003"/>
    <w:rsid w:val="00527AE6"/>
    <w:rsid w:val="00527F78"/>
    <w:rsid w:val="00533818"/>
    <w:rsid w:val="00536C32"/>
    <w:rsid w:val="005405FD"/>
    <w:rsid w:val="0054173D"/>
    <w:rsid w:val="005420C6"/>
    <w:rsid w:val="00544F72"/>
    <w:rsid w:val="0054702A"/>
    <w:rsid w:val="0054721B"/>
    <w:rsid w:val="00547517"/>
    <w:rsid w:val="00547A57"/>
    <w:rsid w:val="0055155D"/>
    <w:rsid w:val="00551716"/>
    <w:rsid w:val="0055565A"/>
    <w:rsid w:val="00575545"/>
    <w:rsid w:val="005766B2"/>
    <w:rsid w:val="00576E39"/>
    <w:rsid w:val="00585356"/>
    <w:rsid w:val="00585E58"/>
    <w:rsid w:val="0058692E"/>
    <w:rsid w:val="0059059B"/>
    <w:rsid w:val="005917F6"/>
    <w:rsid w:val="005936C0"/>
    <w:rsid w:val="00595899"/>
    <w:rsid w:val="0059753E"/>
    <w:rsid w:val="00597B56"/>
    <w:rsid w:val="005A76D6"/>
    <w:rsid w:val="005B0C36"/>
    <w:rsid w:val="005C4BD1"/>
    <w:rsid w:val="005C574E"/>
    <w:rsid w:val="005C639A"/>
    <w:rsid w:val="005C6DBA"/>
    <w:rsid w:val="005C7A60"/>
    <w:rsid w:val="005D31DE"/>
    <w:rsid w:val="005D4734"/>
    <w:rsid w:val="005F3EC3"/>
    <w:rsid w:val="005F4B10"/>
    <w:rsid w:val="005F5424"/>
    <w:rsid w:val="005F5732"/>
    <w:rsid w:val="005F5D8F"/>
    <w:rsid w:val="005F66C9"/>
    <w:rsid w:val="006015C1"/>
    <w:rsid w:val="00603C28"/>
    <w:rsid w:val="00604F57"/>
    <w:rsid w:val="006155BA"/>
    <w:rsid w:val="00631364"/>
    <w:rsid w:val="00633070"/>
    <w:rsid w:val="0064161A"/>
    <w:rsid w:val="00642A07"/>
    <w:rsid w:val="00643297"/>
    <w:rsid w:val="00647CB6"/>
    <w:rsid w:val="00652B9E"/>
    <w:rsid w:val="0065397A"/>
    <w:rsid w:val="00661ECD"/>
    <w:rsid w:val="006647AF"/>
    <w:rsid w:val="0066586F"/>
    <w:rsid w:val="00665E47"/>
    <w:rsid w:val="0066607E"/>
    <w:rsid w:val="00677FA1"/>
    <w:rsid w:val="00682450"/>
    <w:rsid w:val="00691FBE"/>
    <w:rsid w:val="00694650"/>
    <w:rsid w:val="006949FC"/>
    <w:rsid w:val="006962C3"/>
    <w:rsid w:val="006A16D0"/>
    <w:rsid w:val="006A27D4"/>
    <w:rsid w:val="006A382F"/>
    <w:rsid w:val="006A4C8A"/>
    <w:rsid w:val="006A5C98"/>
    <w:rsid w:val="006A5D2B"/>
    <w:rsid w:val="006B17FD"/>
    <w:rsid w:val="006B2687"/>
    <w:rsid w:val="006B486B"/>
    <w:rsid w:val="006C0D08"/>
    <w:rsid w:val="006C3EBD"/>
    <w:rsid w:val="006C42A8"/>
    <w:rsid w:val="006D0139"/>
    <w:rsid w:val="006D0B2A"/>
    <w:rsid w:val="006D2CDD"/>
    <w:rsid w:val="006D480C"/>
    <w:rsid w:val="006D55F6"/>
    <w:rsid w:val="006D6B53"/>
    <w:rsid w:val="006E0D5C"/>
    <w:rsid w:val="006E1F9B"/>
    <w:rsid w:val="006E283E"/>
    <w:rsid w:val="006E4BDC"/>
    <w:rsid w:val="006E6830"/>
    <w:rsid w:val="006E7F44"/>
    <w:rsid w:val="006F032B"/>
    <w:rsid w:val="006F4CD0"/>
    <w:rsid w:val="006F5143"/>
    <w:rsid w:val="006F63AB"/>
    <w:rsid w:val="006F6486"/>
    <w:rsid w:val="00703A0B"/>
    <w:rsid w:val="00707D11"/>
    <w:rsid w:val="00711927"/>
    <w:rsid w:val="00720B70"/>
    <w:rsid w:val="00724962"/>
    <w:rsid w:val="007334AE"/>
    <w:rsid w:val="00735ADD"/>
    <w:rsid w:val="00736771"/>
    <w:rsid w:val="00742064"/>
    <w:rsid w:val="007423B7"/>
    <w:rsid w:val="0074262E"/>
    <w:rsid w:val="00742BF4"/>
    <w:rsid w:val="00743E3C"/>
    <w:rsid w:val="0074660D"/>
    <w:rsid w:val="00747C1E"/>
    <w:rsid w:val="007509D0"/>
    <w:rsid w:val="00751791"/>
    <w:rsid w:val="00751DC4"/>
    <w:rsid w:val="007545BB"/>
    <w:rsid w:val="00756854"/>
    <w:rsid w:val="00760DF6"/>
    <w:rsid w:val="00761E6C"/>
    <w:rsid w:val="00762C94"/>
    <w:rsid w:val="00763A39"/>
    <w:rsid w:val="00763BEF"/>
    <w:rsid w:val="00765B97"/>
    <w:rsid w:val="00765F15"/>
    <w:rsid w:val="007707C8"/>
    <w:rsid w:val="00771FA9"/>
    <w:rsid w:val="00772060"/>
    <w:rsid w:val="00772187"/>
    <w:rsid w:val="00772F95"/>
    <w:rsid w:val="007801F4"/>
    <w:rsid w:val="0078468B"/>
    <w:rsid w:val="00785C7D"/>
    <w:rsid w:val="00787613"/>
    <w:rsid w:val="00790F79"/>
    <w:rsid w:val="00793625"/>
    <w:rsid w:val="00793CBE"/>
    <w:rsid w:val="007941AC"/>
    <w:rsid w:val="00796649"/>
    <w:rsid w:val="007A0DA3"/>
    <w:rsid w:val="007A1058"/>
    <w:rsid w:val="007A61FE"/>
    <w:rsid w:val="007B21DE"/>
    <w:rsid w:val="007B32D1"/>
    <w:rsid w:val="007B3419"/>
    <w:rsid w:val="007C0119"/>
    <w:rsid w:val="007C1B09"/>
    <w:rsid w:val="007C1E4F"/>
    <w:rsid w:val="007C207D"/>
    <w:rsid w:val="007C3081"/>
    <w:rsid w:val="007D03EE"/>
    <w:rsid w:val="007D1985"/>
    <w:rsid w:val="007D6B0E"/>
    <w:rsid w:val="007E1311"/>
    <w:rsid w:val="007E2EA0"/>
    <w:rsid w:val="007E65F0"/>
    <w:rsid w:val="007E78C0"/>
    <w:rsid w:val="007F02F1"/>
    <w:rsid w:val="007F4C4F"/>
    <w:rsid w:val="007F59A7"/>
    <w:rsid w:val="007F5F34"/>
    <w:rsid w:val="007F62F0"/>
    <w:rsid w:val="007F6C3B"/>
    <w:rsid w:val="008028EF"/>
    <w:rsid w:val="00804336"/>
    <w:rsid w:val="00806CA3"/>
    <w:rsid w:val="00812D08"/>
    <w:rsid w:val="008168E9"/>
    <w:rsid w:val="00826AA4"/>
    <w:rsid w:val="00832A8F"/>
    <w:rsid w:val="00843B68"/>
    <w:rsid w:val="00843CA6"/>
    <w:rsid w:val="0084709D"/>
    <w:rsid w:val="00847AEB"/>
    <w:rsid w:val="00852473"/>
    <w:rsid w:val="0085578E"/>
    <w:rsid w:val="00856125"/>
    <w:rsid w:val="0085737B"/>
    <w:rsid w:val="00866DFB"/>
    <w:rsid w:val="00877C30"/>
    <w:rsid w:val="0088103E"/>
    <w:rsid w:val="00882069"/>
    <w:rsid w:val="00882213"/>
    <w:rsid w:val="00882B80"/>
    <w:rsid w:val="008831FE"/>
    <w:rsid w:val="008836F2"/>
    <w:rsid w:val="008841E2"/>
    <w:rsid w:val="00884C25"/>
    <w:rsid w:val="00886F97"/>
    <w:rsid w:val="00887087"/>
    <w:rsid w:val="00891F7E"/>
    <w:rsid w:val="00892CEE"/>
    <w:rsid w:val="008938AA"/>
    <w:rsid w:val="00893A97"/>
    <w:rsid w:val="00896EB7"/>
    <w:rsid w:val="00897DEF"/>
    <w:rsid w:val="008A33A8"/>
    <w:rsid w:val="008A4623"/>
    <w:rsid w:val="008A5C41"/>
    <w:rsid w:val="008A5EFE"/>
    <w:rsid w:val="008B264E"/>
    <w:rsid w:val="008B3B43"/>
    <w:rsid w:val="008B3C52"/>
    <w:rsid w:val="008B3FAE"/>
    <w:rsid w:val="008B6656"/>
    <w:rsid w:val="008C12FF"/>
    <w:rsid w:val="008C1B44"/>
    <w:rsid w:val="008C27C3"/>
    <w:rsid w:val="008C79C4"/>
    <w:rsid w:val="008D00BD"/>
    <w:rsid w:val="008D3952"/>
    <w:rsid w:val="008D7CFC"/>
    <w:rsid w:val="008E06C7"/>
    <w:rsid w:val="008E2300"/>
    <w:rsid w:val="008E4883"/>
    <w:rsid w:val="008F1B41"/>
    <w:rsid w:val="008F78E0"/>
    <w:rsid w:val="008F7E59"/>
    <w:rsid w:val="00900522"/>
    <w:rsid w:val="00903046"/>
    <w:rsid w:val="0090369E"/>
    <w:rsid w:val="00905E48"/>
    <w:rsid w:val="009074DE"/>
    <w:rsid w:val="00915857"/>
    <w:rsid w:val="00922B23"/>
    <w:rsid w:val="009245A8"/>
    <w:rsid w:val="00926591"/>
    <w:rsid w:val="00927895"/>
    <w:rsid w:val="00927E04"/>
    <w:rsid w:val="009304A7"/>
    <w:rsid w:val="00933AD7"/>
    <w:rsid w:val="00934553"/>
    <w:rsid w:val="009345FE"/>
    <w:rsid w:val="009362B1"/>
    <w:rsid w:val="00941422"/>
    <w:rsid w:val="00942378"/>
    <w:rsid w:val="00943777"/>
    <w:rsid w:val="00943E15"/>
    <w:rsid w:val="00945F0B"/>
    <w:rsid w:val="00952978"/>
    <w:rsid w:val="00953E80"/>
    <w:rsid w:val="00956582"/>
    <w:rsid w:val="009579AB"/>
    <w:rsid w:val="00957E51"/>
    <w:rsid w:val="00964771"/>
    <w:rsid w:val="00964A17"/>
    <w:rsid w:val="00964B89"/>
    <w:rsid w:val="00967D74"/>
    <w:rsid w:val="00977B32"/>
    <w:rsid w:val="00982198"/>
    <w:rsid w:val="0098324A"/>
    <w:rsid w:val="0098408D"/>
    <w:rsid w:val="00984318"/>
    <w:rsid w:val="00987238"/>
    <w:rsid w:val="00991F3F"/>
    <w:rsid w:val="00994301"/>
    <w:rsid w:val="00994B8C"/>
    <w:rsid w:val="00996601"/>
    <w:rsid w:val="009974BA"/>
    <w:rsid w:val="009A5DAD"/>
    <w:rsid w:val="009A60AF"/>
    <w:rsid w:val="009B378B"/>
    <w:rsid w:val="009B492E"/>
    <w:rsid w:val="009C573B"/>
    <w:rsid w:val="009D109C"/>
    <w:rsid w:val="009D3A21"/>
    <w:rsid w:val="009D75CA"/>
    <w:rsid w:val="009E3636"/>
    <w:rsid w:val="009E4574"/>
    <w:rsid w:val="009F06C9"/>
    <w:rsid w:val="009F1F62"/>
    <w:rsid w:val="009F3359"/>
    <w:rsid w:val="00A01B93"/>
    <w:rsid w:val="00A03A03"/>
    <w:rsid w:val="00A04B2F"/>
    <w:rsid w:val="00A06817"/>
    <w:rsid w:val="00A06F7A"/>
    <w:rsid w:val="00A07DDF"/>
    <w:rsid w:val="00A1023D"/>
    <w:rsid w:val="00A10675"/>
    <w:rsid w:val="00A1158C"/>
    <w:rsid w:val="00A13A4A"/>
    <w:rsid w:val="00A16987"/>
    <w:rsid w:val="00A207B2"/>
    <w:rsid w:val="00A2363B"/>
    <w:rsid w:val="00A338D6"/>
    <w:rsid w:val="00A3432A"/>
    <w:rsid w:val="00A34E4C"/>
    <w:rsid w:val="00A35DA2"/>
    <w:rsid w:val="00A445EA"/>
    <w:rsid w:val="00A54D29"/>
    <w:rsid w:val="00A574A4"/>
    <w:rsid w:val="00A57E75"/>
    <w:rsid w:val="00A624FB"/>
    <w:rsid w:val="00A62708"/>
    <w:rsid w:val="00A63512"/>
    <w:rsid w:val="00A67F1E"/>
    <w:rsid w:val="00A711C4"/>
    <w:rsid w:val="00A719F8"/>
    <w:rsid w:val="00A72D47"/>
    <w:rsid w:val="00A72DB0"/>
    <w:rsid w:val="00A746C4"/>
    <w:rsid w:val="00A762EE"/>
    <w:rsid w:val="00A7735E"/>
    <w:rsid w:val="00A77843"/>
    <w:rsid w:val="00A80040"/>
    <w:rsid w:val="00A80B23"/>
    <w:rsid w:val="00A83F1B"/>
    <w:rsid w:val="00A84019"/>
    <w:rsid w:val="00A84191"/>
    <w:rsid w:val="00A851C3"/>
    <w:rsid w:val="00A91F11"/>
    <w:rsid w:val="00A9561B"/>
    <w:rsid w:val="00A956CB"/>
    <w:rsid w:val="00A95C0C"/>
    <w:rsid w:val="00AA0BF0"/>
    <w:rsid w:val="00AA1BDC"/>
    <w:rsid w:val="00AA76E0"/>
    <w:rsid w:val="00AB2564"/>
    <w:rsid w:val="00AB2A3F"/>
    <w:rsid w:val="00AB3B26"/>
    <w:rsid w:val="00AB3FF3"/>
    <w:rsid w:val="00AB5097"/>
    <w:rsid w:val="00AB66E4"/>
    <w:rsid w:val="00AB7EA7"/>
    <w:rsid w:val="00AC1CDF"/>
    <w:rsid w:val="00AC6801"/>
    <w:rsid w:val="00AD1F1E"/>
    <w:rsid w:val="00AD2FF3"/>
    <w:rsid w:val="00AD3333"/>
    <w:rsid w:val="00AD3CC9"/>
    <w:rsid w:val="00AE3315"/>
    <w:rsid w:val="00AE42FB"/>
    <w:rsid w:val="00AE4314"/>
    <w:rsid w:val="00AE71A8"/>
    <w:rsid w:val="00AE728F"/>
    <w:rsid w:val="00AF2D34"/>
    <w:rsid w:val="00AF381F"/>
    <w:rsid w:val="00AF54F8"/>
    <w:rsid w:val="00AF5D9E"/>
    <w:rsid w:val="00AF79DD"/>
    <w:rsid w:val="00B03226"/>
    <w:rsid w:val="00B15134"/>
    <w:rsid w:val="00B236F0"/>
    <w:rsid w:val="00B26187"/>
    <w:rsid w:val="00B313C3"/>
    <w:rsid w:val="00B323A3"/>
    <w:rsid w:val="00B35560"/>
    <w:rsid w:val="00B362C5"/>
    <w:rsid w:val="00B41476"/>
    <w:rsid w:val="00B45B6D"/>
    <w:rsid w:val="00B47D46"/>
    <w:rsid w:val="00B529FF"/>
    <w:rsid w:val="00B60372"/>
    <w:rsid w:val="00B63161"/>
    <w:rsid w:val="00B667D3"/>
    <w:rsid w:val="00B70286"/>
    <w:rsid w:val="00B704BA"/>
    <w:rsid w:val="00B709E8"/>
    <w:rsid w:val="00B73F1A"/>
    <w:rsid w:val="00B74BB7"/>
    <w:rsid w:val="00B83855"/>
    <w:rsid w:val="00B84B2A"/>
    <w:rsid w:val="00B864DE"/>
    <w:rsid w:val="00B86CC3"/>
    <w:rsid w:val="00B948E3"/>
    <w:rsid w:val="00B955C7"/>
    <w:rsid w:val="00B95760"/>
    <w:rsid w:val="00BA0378"/>
    <w:rsid w:val="00BA0F0C"/>
    <w:rsid w:val="00BA47C9"/>
    <w:rsid w:val="00BA6044"/>
    <w:rsid w:val="00BB1C70"/>
    <w:rsid w:val="00BB1DD8"/>
    <w:rsid w:val="00BB3806"/>
    <w:rsid w:val="00BC2E70"/>
    <w:rsid w:val="00BC4168"/>
    <w:rsid w:val="00BE10E0"/>
    <w:rsid w:val="00BE3B35"/>
    <w:rsid w:val="00BF1424"/>
    <w:rsid w:val="00BF4762"/>
    <w:rsid w:val="00BF61CD"/>
    <w:rsid w:val="00C03B3E"/>
    <w:rsid w:val="00C07259"/>
    <w:rsid w:val="00C11219"/>
    <w:rsid w:val="00C122C2"/>
    <w:rsid w:val="00C1279B"/>
    <w:rsid w:val="00C173E6"/>
    <w:rsid w:val="00C21E2B"/>
    <w:rsid w:val="00C22140"/>
    <w:rsid w:val="00C221DE"/>
    <w:rsid w:val="00C2564E"/>
    <w:rsid w:val="00C26031"/>
    <w:rsid w:val="00C32423"/>
    <w:rsid w:val="00C3616A"/>
    <w:rsid w:val="00C42115"/>
    <w:rsid w:val="00C44479"/>
    <w:rsid w:val="00C452BA"/>
    <w:rsid w:val="00C46602"/>
    <w:rsid w:val="00C5503D"/>
    <w:rsid w:val="00C55583"/>
    <w:rsid w:val="00C63248"/>
    <w:rsid w:val="00C72E9A"/>
    <w:rsid w:val="00C740AF"/>
    <w:rsid w:val="00C816B3"/>
    <w:rsid w:val="00C82D5F"/>
    <w:rsid w:val="00C82F56"/>
    <w:rsid w:val="00C92E11"/>
    <w:rsid w:val="00C94C9A"/>
    <w:rsid w:val="00C96A77"/>
    <w:rsid w:val="00CA42C9"/>
    <w:rsid w:val="00CA744D"/>
    <w:rsid w:val="00CB07A3"/>
    <w:rsid w:val="00CB0944"/>
    <w:rsid w:val="00CB0DE6"/>
    <w:rsid w:val="00CB4AAE"/>
    <w:rsid w:val="00CB7F84"/>
    <w:rsid w:val="00CC0645"/>
    <w:rsid w:val="00CC0FC7"/>
    <w:rsid w:val="00CC290C"/>
    <w:rsid w:val="00CC5588"/>
    <w:rsid w:val="00CD3B9F"/>
    <w:rsid w:val="00CD7C6B"/>
    <w:rsid w:val="00CE242E"/>
    <w:rsid w:val="00CE42EA"/>
    <w:rsid w:val="00CE7FA5"/>
    <w:rsid w:val="00CF3115"/>
    <w:rsid w:val="00CF6790"/>
    <w:rsid w:val="00D055BB"/>
    <w:rsid w:val="00D069E8"/>
    <w:rsid w:val="00D10826"/>
    <w:rsid w:val="00D1179B"/>
    <w:rsid w:val="00D12AEC"/>
    <w:rsid w:val="00D14EBD"/>
    <w:rsid w:val="00D25446"/>
    <w:rsid w:val="00D258F3"/>
    <w:rsid w:val="00D25BF6"/>
    <w:rsid w:val="00D317DF"/>
    <w:rsid w:val="00D376F1"/>
    <w:rsid w:val="00D4048F"/>
    <w:rsid w:val="00D4336E"/>
    <w:rsid w:val="00D44B5B"/>
    <w:rsid w:val="00D52CB8"/>
    <w:rsid w:val="00D538E3"/>
    <w:rsid w:val="00D53B38"/>
    <w:rsid w:val="00D54493"/>
    <w:rsid w:val="00D60445"/>
    <w:rsid w:val="00D607C8"/>
    <w:rsid w:val="00D614AB"/>
    <w:rsid w:val="00D65928"/>
    <w:rsid w:val="00D7376D"/>
    <w:rsid w:val="00D758BF"/>
    <w:rsid w:val="00D80818"/>
    <w:rsid w:val="00D80946"/>
    <w:rsid w:val="00D843C1"/>
    <w:rsid w:val="00D87E53"/>
    <w:rsid w:val="00D91005"/>
    <w:rsid w:val="00D91A03"/>
    <w:rsid w:val="00D9679A"/>
    <w:rsid w:val="00DA1003"/>
    <w:rsid w:val="00DA4299"/>
    <w:rsid w:val="00DA4B29"/>
    <w:rsid w:val="00DB0D17"/>
    <w:rsid w:val="00DB38C5"/>
    <w:rsid w:val="00DC285A"/>
    <w:rsid w:val="00DC2E61"/>
    <w:rsid w:val="00DC5E16"/>
    <w:rsid w:val="00DD086A"/>
    <w:rsid w:val="00DD17FD"/>
    <w:rsid w:val="00DD3E63"/>
    <w:rsid w:val="00DE3912"/>
    <w:rsid w:val="00DF0C0D"/>
    <w:rsid w:val="00DF5F61"/>
    <w:rsid w:val="00DF7013"/>
    <w:rsid w:val="00DF7019"/>
    <w:rsid w:val="00DF797D"/>
    <w:rsid w:val="00E003D3"/>
    <w:rsid w:val="00E0213C"/>
    <w:rsid w:val="00E05831"/>
    <w:rsid w:val="00E070A0"/>
    <w:rsid w:val="00E07FF1"/>
    <w:rsid w:val="00E149F7"/>
    <w:rsid w:val="00E14F36"/>
    <w:rsid w:val="00E20E25"/>
    <w:rsid w:val="00E20F52"/>
    <w:rsid w:val="00E21AAC"/>
    <w:rsid w:val="00E248BE"/>
    <w:rsid w:val="00E33AE3"/>
    <w:rsid w:val="00E33B03"/>
    <w:rsid w:val="00E347FE"/>
    <w:rsid w:val="00E35323"/>
    <w:rsid w:val="00E368E3"/>
    <w:rsid w:val="00E37860"/>
    <w:rsid w:val="00E443C8"/>
    <w:rsid w:val="00E50B00"/>
    <w:rsid w:val="00E601E2"/>
    <w:rsid w:val="00E603AA"/>
    <w:rsid w:val="00E61397"/>
    <w:rsid w:val="00E640B9"/>
    <w:rsid w:val="00E64E36"/>
    <w:rsid w:val="00E65DBB"/>
    <w:rsid w:val="00E664F2"/>
    <w:rsid w:val="00E66E65"/>
    <w:rsid w:val="00E737D7"/>
    <w:rsid w:val="00E73994"/>
    <w:rsid w:val="00E848BC"/>
    <w:rsid w:val="00E87FDA"/>
    <w:rsid w:val="00E90BB1"/>
    <w:rsid w:val="00E911E8"/>
    <w:rsid w:val="00E9133E"/>
    <w:rsid w:val="00E92387"/>
    <w:rsid w:val="00E92C24"/>
    <w:rsid w:val="00E96CF0"/>
    <w:rsid w:val="00E97347"/>
    <w:rsid w:val="00E97FD9"/>
    <w:rsid w:val="00EA092B"/>
    <w:rsid w:val="00EA52FE"/>
    <w:rsid w:val="00EB13D8"/>
    <w:rsid w:val="00EC13CD"/>
    <w:rsid w:val="00EC425A"/>
    <w:rsid w:val="00ED248D"/>
    <w:rsid w:val="00EE1459"/>
    <w:rsid w:val="00EE2448"/>
    <w:rsid w:val="00EE2493"/>
    <w:rsid w:val="00EE6568"/>
    <w:rsid w:val="00EE7472"/>
    <w:rsid w:val="00EE7E03"/>
    <w:rsid w:val="00EE7F7E"/>
    <w:rsid w:val="00EF10D7"/>
    <w:rsid w:val="00EF14F1"/>
    <w:rsid w:val="00EF64FE"/>
    <w:rsid w:val="00F00DA6"/>
    <w:rsid w:val="00F03812"/>
    <w:rsid w:val="00F05698"/>
    <w:rsid w:val="00F06056"/>
    <w:rsid w:val="00F068DB"/>
    <w:rsid w:val="00F1762E"/>
    <w:rsid w:val="00F178B8"/>
    <w:rsid w:val="00F25943"/>
    <w:rsid w:val="00F26A29"/>
    <w:rsid w:val="00F27CFE"/>
    <w:rsid w:val="00F31088"/>
    <w:rsid w:val="00F34DBE"/>
    <w:rsid w:val="00F3562C"/>
    <w:rsid w:val="00F35EE9"/>
    <w:rsid w:val="00F365F4"/>
    <w:rsid w:val="00F467F2"/>
    <w:rsid w:val="00F470C6"/>
    <w:rsid w:val="00F51D4D"/>
    <w:rsid w:val="00F54B68"/>
    <w:rsid w:val="00F62091"/>
    <w:rsid w:val="00F62D12"/>
    <w:rsid w:val="00F645D7"/>
    <w:rsid w:val="00F65867"/>
    <w:rsid w:val="00F66C10"/>
    <w:rsid w:val="00F70B64"/>
    <w:rsid w:val="00F724BA"/>
    <w:rsid w:val="00F7268A"/>
    <w:rsid w:val="00F7606E"/>
    <w:rsid w:val="00F76F6A"/>
    <w:rsid w:val="00F8072D"/>
    <w:rsid w:val="00F82B9A"/>
    <w:rsid w:val="00F849EA"/>
    <w:rsid w:val="00F960B8"/>
    <w:rsid w:val="00F961B0"/>
    <w:rsid w:val="00F96328"/>
    <w:rsid w:val="00FA0BC4"/>
    <w:rsid w:val="00FA12CC"/>
    <w:rsid w:val="00FA19C3"/>
    <w:rsid w:val="00FA5E1B"/>
    <w:rsid w:val="00FA638E"/>
    <w:rsid w:val="00FB01FE"/>
    <w:rsid w:val="00FB1FEC"/>
    <w:rsid w:val="00FB22AC"/>
    <w:rsid w:val="00FB77EB"/>
    <w:rsid w:val="00FC478E"/>
    <w:rsid w:val="00FD17CE"/>
    <w:rsid w:val="00FD1A34"/>
    <w:rsid w:val="00FD2CBE"/>
    <w:rsid w:val="00FD68C4"/>
    <w:rsid w:val="00FD7494"/>
    <w:rsid w:val="00FE2ED9"/>
    <w:rsid w:val="00FE64FE"/>
    <w:rsid w:val="00FF0C9F"/>
    <w:rsid w:val="00FF168B"/>
    <w:rsid w:val="00FF3929"/>
    <w:rsid w:val="017356EA"/>
    <w:rsid w:val="01E013B6"/>
    <w:rsid w:val="026EF8C7"/>
    <w:rsid w:val="0691F44C"/>
    <w:rsid w:val="09D133F0"/>
    <w:rsid w:val="0B169FBA"/>
    <w:rsid w:val="0B86F5FC"/>
    <w:rsid w:val="0BCE8739"/>
    <w:rsid w:val="0C04A036"/>
    <w:rsid w:val="0C1DC893"/>
    <w:rsid w:val="0D22C65D"/>
    <w:rsid w:val="0DB998F4"/>
    <w:rsid w:val="0E0082E7"/>
    <w:rsid w:val="0E4083B2"/>
    <w:rsid w:val="0F00667F"/>
    <w:rsid w:val="109A0BD1"/>
    <w:rsid w:val="15C4AAD9"/>
    <w:rsid w:val="1610BBC6"/>
    <w:rsid w:val="16D214D5"/>
    <w:rsid w:val="16DE5D8A"/>
    <w:rsid w:val="18FC4B9B"/>
    <w:rsid w:val="1C809ED8"/>
    <w:rsid w:val="1CB47917"/>
    <w:rsid w:val="204627B5"/>
    <w:rsid w:val="2090F3FF"/>
    <w:rsid w:val="2291F30A"/>
    <w:rsid w:val="2484034F"/>
    <w:rsid w:val="24AE6EC1"/>
    <w:rsid w:val="25D14518"/>
    <w:rsid w:val="2A063258"/>
    <w:rsid w:val="2A83DC92"/>
    <w:rsid w:val="2A9D04EF"/>
    <w:rsid w:val="2B33D786"/>
    <w:rsid w:val="2BB06BB3"/>
    <w:rsid w:val="36237F95"/>
    <w:rsid w:val="3640998D"/>
    <w:rsid w:val="383BE390"/>
    <w:rsid w:val="39BFDED1"/>
    <w:rsid w:val="3A35D7D9"/>
    <w:rsid w:val="3A5279B7"/>
    <w:rsid w:val="3B09E7F6"/>
    <w:rsid w:val="3C06204B"/>
    <w:rsid w:val="3C09BF48"/>
    <w:rsid w:val="3C14C4B5"/>
    <w:rsid w:val="3D2993B0"/>
    <w:rsid w:val="3D703F98"/>
    <w:rsid w:val="425FA90E"/>
    <w:rsid w:val="459B7651"/>
    <w:rsid w:val="46F4CB87"/>
    <w:rsid w:val="4701143C"/>
    <w:rsid w:val="50661D65"/>
    <w:rsid w:val="55F3FBCA"/>
    <w:rsid w:val="5824D453"/>
    <w:rsid w:val="5852D9BC"/>
    <w:rsid w:val="585D98A3"/>
    <w:rsid w:val="58A328AB"/>
    <w:rsid w:val="5A620281"/>
    <w:rsid w:val="5E0F93E5"/>
    <w:rsid w:val="60619207"/>
    <w:rsid w:val="6303E6FD"/>
    <w:rsid w:val="64003141"/>
    <w:rsid w:val="64A7A4E4"/>
    <w:rsid w:val="690F03AD"/>
    <w:rsid w:val="6B44809B"/>
    <w:rsid w:val="6CB2B6C9"/>
    <w:rsid w:val="6E14C59C"/>
    <w:rsid w:val="6E30E33B"/>
    <w:rsid w:val="6E355ECD"/>
    <w:rsid w:val="6FEA578B"/>
    <w:rsid w:val="70549BC7"/>
    <w:rsid w:val="727858CA"/>
    <w:rsid w:val="734C97EF"/>
    <w:rsid w:val="73B69FD5"/>
    <w:rsid w:val="73F79C49"/>
    <w:rsid w:val="757E8E37"/>
    <w:rsid w:val="7771C936"/>
    <w:rsid w:val="77FEFBE5"/>
    <w:rsid w:val="799139D1"/>
    <w:rsid w:val="7CF9E67B"/>
    <w:rsid w:val="7D84B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9DB8E7"/>
  <w15:docId w15:val="{942FF3D4-2F50-4673-A69B-0C408201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2060"/>
    <w:pPr>
      <w:spacing w:after="0" w:line="240" w:lineRule="atLeast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26AA4"/>
    <w:pPr>
      <w:keepNext/>
      <w:keepLines/>
      <w:spacing w:after="240" w:line="360" w:lineRule="atLeast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C639A"/>
    <w:pPr>
      <w:keepNext/>
      <w:keepLines/>
      <w:spacing w:after="60" w:line="280" w:lineRule="atLeast"/>
      <w:outlineLvl w:val="1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16987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bCs/>
      <w:color w:val="0460A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1CE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1CEB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11CEB"/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CEB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52B9E"/>
    <w:rPr>
      <w:color w:val="auto"/>
      <w:u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2B9E"/>
    <w:rPr>
      <w:color w:val="auto"/>
      <w:u w:val="none"/>
    </w:rPr>
  </w:style>
  <w:style w:type="paragraph" w:styleId="Paragrafoelenco">
    <w:name w:val="List Paragraph"/>
    <w:basedOn w:val="Normale"/>
    <w:link w:val="ParagrafoelencoCarattere"/>
    <w:uiPriority w:val="34"/>
    <w:qFormat/>
    <w:rsid w:val="002870E7"/>
    <w:pPr>
      <w:ind w:left="720"/>
      <w:contextualSpacing/>
    </w:pPr>
  </w:style>
  <w:style w:type="table" w:styleId="Grigliatabella">
    <w:name w:val="Table Grid"/>
    <w:basedOn w:val="Tabellanormale"/>
    <w:uiPriority w:val="59"/>
    <w:rsid w:val="00A16987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72" w:type="dxa"/>
        <w:left w:w="0" w:type="dxa"/>
        <w:bottom w:w="72" w:type="dxa"/>
        <w:right w:w="0" w:type="dxa"/>
      </w:tblCellMar>
    </w:tblPr>
    <w:tblStylePr w:type="firstRow">
      <w:rPr>
        <w:b/>
        <w:bCs/>
        <w:i w:val="0"/>
        <w:iCs w:val="0"/>
        <w:color w:val="0460A9"/>
      </w:rPr>
      <w:tblPr/>
      <w:tcPr>
        <w:tcBorders>
          <w:top w:val="nil"/>
          <w:left w:val="nil"/>
          <w:bottom w:val="single" w:sz="8" w:space="0" w:color="0460A9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s">
    <w:name w:val="Bullets"/>
    <w:basedOn w:val="Paragrafoelenco"/>
    <w:uiPriority w:val="9"/>
    <w:qFormat/>
    <w:rsid w:val="00FD68C4"/>
    <w:pPr>
      <w:numPr>
        <w:numId w:val="1"/>
      </w:numPr>
      <w:contextualSpacing w:val="0"/>
    </w:pPr>
  </w:style>
  <w:style w:type="paragraph" w:customStyle="1" w:styleId="BusinessUnit">
    <w:name w:val="Business Unit"/>
    <w:basedOn w:val="Normale"/>
    <w:uiPriority w:val="9"/>
    <w:rsid w:val="00DD17FD"/>
    <w:pPr>
      <w:spacing w:line="200" w:lineRule="atLeast"/>
    </w:pPr>
    <w:rPr>
      <w:b/>
      <w:bCs/>
      <w:color w:val="0460A9" w:themeColor="accent1"/>
      <w:sz w:val="16"/>
      <w:szCs w:val="16"/>
    </w:rPr>
  </w:style>
  <w:style w:type="paragraph" w:customStyle="1" w:styleId="Footnote">
    <w:name w:val="Footnote"/>
    <w:basedOn w:val="Normale"/>
    <w:uiPriority w:val="9"/>
    <w:qFormat/>
    <w:rsid w:val="00AD1F1E"/>
    <w:pPr>
      <w:spacing w:line="140" w:lineRule="atLeast"/>
    </w:pPr>
    <w:rPr>
      <w:sz w:val="12"/>
      <w:szCs w:val="1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6AA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94A6C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16987"/>
    <w:rPr>
      <w:rFonts w:asciiTheme="majorHAnsi" w:eastAsiaTheme="majorEastAsia" w:hAnsiTheme="majorHAnsi" w:cstheme="majorBidi"/>
      <w:b/>
      <w:bCs/>
      <w:color w:val="0460A9"/>
      <w:sz w:val="20"/>
      <w:szCs w:val="20"/>
    </w:rPr>
  </w:style>
  <w:style w:type="paragraph" w:customStyle="1" w:styleId="Numbers">
    <w:name w:val="Numbers"/>
    <w:basedOn w:val="Paragrafoelenco"/>
    <w:uiPriority w:val="9"/>
    <w:qFormat/>
    <w:rsid w:val="00927E04"/>
    <w:pPr>
      <w:numPr>
        <w:numId w:val="3"/>
      </w:numPr>
    </w:p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C94C9A"/>
    <w:rPr>
      <w:color w:val="605E5C"/>
      <w:shd w:val="clear" w:color="auto" w:fill="E1DFDD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494EF2"/>
    <w:rPr>
      <w:sz w:val="20"/>
      <w:szCs w:val="20"/>
    </w:rPr>
  </w:style>
  <w:style w:type="paragraph" w:customStyle="1" w:styleId="Default">
    <w:name w:val="Default"/>
    <w:rsid w:val="0090369E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val="en-GB"/>
    </w:rPr>
  </w:style>
  <w:style w:type="paragraph" w:customStyle="1" w:styleId="Subhead">
    <w:name w:val="Subhead"/>
    <w:basedOn w:val="Normale"/>
    <w:next w:val="Normale"/>
    <w:uiPriority w:val="9"/>
    <w:qFormat/>
    <w:rsid w:val="006A27D4"/>
    <w:pPr>
      <w:keepNext/>
      <w:keepLines/>
    </w:pPr>
    <w:rPr>
      <w:b/>
    </w:rPr>
  </w:style>
  <w:style w:type="paragraph" w:customStyle="1" w:styleId="References">
    <w:name w:val="References"/>
    <w:basedOn w:val="Paragrafoelenco"/>
    <w:uiPriority w:val="9"/>
    <w:qFormat/>
    <w:rsid w:val="006A27D4"/>
    <w:pPr>
      <w:numPr>
        <w:numId w:val="6"/>
      </w:numPr>
      <w:spacing w:line="200" w:lineRule="atLeast"/>
      <w:ind w:left="289" w:hanging="289"/>
    </w:pPr>
    <w:rPr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35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B362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362C5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362C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62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62C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2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62C5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882069"/>
    <w:pPr>
      <w:spacing w:after="0" w:line="240" w:lineRule="auto"/>
    </w:pPr>
    <w:rPr>
      <w:sz w:val="20"/>
      <w:szCs w:val="20"/>
    </w:rPr>
  </w:style>
  <w:style w:type="character" w:customStyle="1" w:styleId="article-published">
    <w:name w:val="article-published"/>
    <w:basedOn w:val="Carpredefinitoparagrafo"/>
    <w:rsid w:val="00F31088"/>
  </w:style>
  <w:style w:type="character" w:customStyle="1" w:styleId="article-source">
    <w:name w:val="article-source"/>
    <w:basedOn w:val="Carpredefinitoparagrafo"/>
    <w:rsid w:val="00F31088"/>
  </w:style>
  <w:style w:type="paragraph" w:customStyle="1" w:styleId="hs97">
    <w:name w:val="hs97"/>
    <w:basedOn w:val="Normale"/>
    <w:rsid w:val="00A34E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color="00000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124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12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00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ovartis.i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Kisqali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ntermedia@intermedianews.i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cp.novartis.com/virtual-congress/esmo-2021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chiara.gnocchi@novatis.co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ovartis.com.%20@NovartisItalia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vartis.com" TargetMode="External"/><Relationship Id="rId2" Type="http://schemas.openxmlformats.org/officeDocument/2006/relationships/hyperlink" Target="http://www.novartis.com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Novartis 2016">
  <a:themeElements>
    <a:clrScheme name="Novartis 2016">
      <a:dk1>
        <a:srgbClr val="000000"/>
      </a:dk1>
      <a:lt1>
        <a:srgbClr val="FFFFFF"/>
      </a:lt1>
      <a:dk2>
        <a:srgbClr val="404040"/>
      </a:dk2>
      <a:lt2>
        <a:srgbClr val="CCCCCC"/>
      </a:lt2>
      <a:accent1>
        <a:srgbClr val="0460A9"/>
      </a:accent1>
      <a:accent2>
        <a:srgbClr val="E74A21"/>
      </a:accent2>
      <a:accent3>
        <a:srgbClr val="EC9A1E"/>
      </a:accent3>
      <a:accent4>
        <a:srgbClr val="8D1F1B"/>
      </a:accent4>
      <a:accent5>
        <a:srgbClr val="7F7F7F"/>
      </a:accent5>
      <a:accent6>
        <a:srgbClr val="404040"/>
      </a:accent6>
      <a:hlink>
        <a:srgbClr val="0460A9"/>
      </a:hlink>
      <a:folHlink>
        <a:srgbClr val="0460A9"/>
      </a:folHlink>
    </a:clrScheme>
    <a:fontScheme name="Novartis 2016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Novartis 2016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12700" cap="sq" cmpd="sng" algn="ctr">
          <a:solidFill>
            <a:schemeClr val="phClr"/>
          </a:solidFill>
          <a:prstDash val="solid"/>
        </a:ln>
        <a:ln w="12700" cap="sq" cmpd="sng" algn="ctr">
          <a:solidFill>
            <a:schemeClr val="phClr"/>
          </a:solidFill>
          <a:prstDash val="solid"/>
        </a:ln>
        <a:ln w="12700" cap="sq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32C2A6602204A844A79A48BEC6083" ma:contentTypeVersion="13" ma:contentTypeDescription="Create a new document." ma:contentTypeScope="" ma:versionID="f2c169e682675475f977b10d5997721c">
  <xsd:schema xmlns:xsd="http://www.w3.org/2001/XMLSchema" xmlns:xs="http://www.w3.org/2001/XMLSchema" xmlns:p="http://schemas.microsoft.com/office/2006/metadata/properties" xmlns:ns3="ce4fd97d-d2ff-4417-9d26-76445a7789da" xmlns:ns4="8c11810d-e887-417c-864c-33012f378f0c" targetNamespace="http://schemas.microsoft.com/office/2006/metadata/properties" ma:root="true" ma:fieldsID="98ed47ecd0a059ef1f9748f07857aa6a" ns3:_="" ns4:_="">
    <xsd:import namespace="ce4fd97d-d2ff-4417-9d26-76445a7789da"/>
    <xsd:import namespace="8c11810d-e887-417c-864c-33012f378f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fd97d-d2ff-4417-9d26-76445a7789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1810d-e887-417c-864c-33012f378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5F3A15-D35D-48BE-84C4-28395BCD04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37F773-1A58-4225-ABCD-D35B8D3F87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27360-462D-4EF8-B574-90EA6C7A02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756EA4-C4B9-45A4-93AF-45BD47284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fd97d-d2ff-4417-9d26-76445a7789da"/>
    <ds:schemaRef ds:uri="8c11810d-e887-417c-864c-33012f378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3100</Words>
  <Characters>17674</Characters>
  <Application>Microsoft Office Word</Application>
  <DocSecurity>0</DocSecurity>
  <Lines>147</Lines>
  <Paragraphs>41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Novartis Media Release guide - August 2019</vt:lpstr>
      <vt:lpstr>Novartis Media Release guide - August 2019</vt:lpstr>
    </vt:vector>
  </TitlesOfParts>
  <Manager/>
  <Company>Novartis</Company>
  <LinksUpToDate>false</LinksUpToDate>
  <CharactersWithSpaces>20733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Novartis Media Release guide - August 2019</dc:title>
  <dc:subject/>
  <dc:creator>Microsoft Office User</dc:creator>
  <cp:keywords/>
  <dc:description/>
  <cp:lastModifiedBy>Simona Tagliaferri - Intermedia</cp:lastModifiedBy>
  <cp:revision>9</cp:revision>
  <dcterms:created xsi:type="dcterms:W3CDTF">2021-09-18T09:14:00Z</dcterms:created>
  <dcterms:modified xsi:type="dcterms:W3CDTF">2021-09-19T10:14:00Z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fidentiality">
    <vt:lpwstr>Business Use Only</vt:lpwstr>
  </property>
  <property fmtid="{D5CDD505-2E9C-101B-9397-08002B2CF9AE}" pid="3" name="ContentTypeId">
    <vt:lpwstr>0x01010032B32C2A6602204A844A79A48BEC6083</vt:lpwstr>
  </property>
  <property fmtid="{D5CDD505-2E9C-101B-9397-08002B2CF9AE}" pid="4" name="RefMsgCountry">
    <vt:lpwstr/>
  </property>
  <property fmtid="{D5CDD505-2E9C-101B-9397-08002B2CF9AE}" pid="5" name="RegMsgTopicStatus">
    <vt:lpwstr>454;#1|5dbbdc98-3942-4b81-9025-3ba98fb1b93b</vt:lpwstr>
  </property>
  <property fmtid="{D5CDD505-2E9C-101B-9397-08002B2CF9AE}" pid="6" name="RefMsgDivisions">
    <vt:lpwstr>487;#Group|dfc17b07-b56c-4b63-af81-32989b790759;#489;#Oncology|4435bf9a-bd6a-47f9-8795-791e53f16fb0;#512;#Pharma|e774e8b3-ff13-400b-998e-5452346acdde;#476;#Sandoz|43e312ca-2378-4938-afc4-29a4a55cb1f6</vt:lpwstr>
  </property>
  <property fmtid="{D5CDD505-2E9C-101B-9397-08002B2CF9AE}" pid="7" name="RefMsgKeywords">
    <vt:lpwstr>1761;#approval processes|b967c9be-b5e8-4ca3-85ca-1e2238872626;#1762;#guides|33ba0190-4fef-4177-be76-49e40089a2db;#1763;#templates|0c9e36e3-c76a-448a-a3cb-6989f00c444f</vt:lpwstr>
  </property>
  <property fmtid="{D5CDD505-2E9C-101B-9397-08002B2CF9AE}" pid="8" name="RefMsgProduct">
    <vt:lpwstr/>
  </property>
  <property fmtid="{D5CDD505-2E9C-101B-9397-08002B2CF9AE}" pid="9" name="RefMsgProductMP">
    <vt:lpwstr/>
  </property>
  <property fmtid="{D5CDD505-2E9C-101B-9397-08002B2CF9AE}" pid="10" name="Multivalues">
    <vt:lpwstr/>
  </property>
  <property fmtid="{D5CDD505-2E9C-101B-9397-08002B2CF9AE}" pid="11" name="RefMsgKeywordsMP">
    <vt:lpwstr/>
  </property>
  <property fmtid="{D5CDD505-2E9C-101B-9397-08002B2CF9AE}" pid="12" name="RefMsgDivisionsMP">
    <vt:lpwstr/>
  </property>
  <property fmtid="{D5CDD505-2E9C-101B-9397-08002B2CF9AE}" pid="13" name="RefMsgCountryMP">
    <vt:lpwstr/>
  </property>
  <property fmtid="{D5CDD505-2E9C-101B-9397-08002B2CF9AE}" pid="14" name="RegMsgTopicStatusMP">
    <vt:lpwstr/>
  </property>
  <property fmtid="{D5CDD505-2E9C-101B-9397-08002B2CF9AE}" pid="15" name="MSIP_Label_4929bff8-5b33-42aa-95d2-28f72e792cb0_Enabled">
    <vt:lpwstr>true</vt:lpwstr>
  </property>
  <property fmtid="{D5CDD505-2E9C-101B-9397-08002B2CF9AE}" pid="16" name="MSIP_Label_4929bff8-5b33-42aa-95d2-28f72e792cb0_SetDate">
    <vt:lpwstr>2021-07-14T17:35:30Z</vt:lpwstr>
  </property>
  <property fmtid="{D5CDD505-2E9C-101B-9397-08002B2CF9AE}" pid="17" name="MSIP_Label_4929bff8-5b33-42aa-95d2-28f72e792cb0_Method">
    <vt:lpwstr>Standard</vt:lpwstr>
  </property>
  <property fmtid="{D5CDD505-2E9C-101B-9397-08002B2CF9AE}" pid="18" name="MSIP_Label_4929bff8-5b33-42aa-95d2-28f72e792cb0_Name">
    <vt:lpwstr>Internal</vt:lpwstr>
  </property>
  <property fmtid="{D5CDD505-2E9C-101B-9397-08002B2CF9AE}" pid="19" name="MSIP_Label_4929bff8-5b33-42aa-95d2-28f72e792cb0_SiteId">
    <vt:lpwstr>f35a6974-607f-47d4-82d7-ff31d7dc53a5</vt:lpwstr>
  </property>
  <property fmtid="{D5CDD505-2E9C-101B-9397-08002B2CF9AE}" pid="20" name="MSIP_Label_4929bff8-5b33-42aa-95d2-28f72e792cb0_ActionId">
    <vt:lpwstr/>
  </property>
  <property fmtid="{D5CDD505-2E9C-101B-9397-08002B2CF9AE}" pid="21" name="MSIP_Label_4929bff8-5b33-42aa-95d2-28f72e792cb0_ContentBits">
    <vt:lpwstr>0</vt:lpwstr>
  </property>
</Properties>
</file>