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15A4B" w14:textId="44C38719" w:rsidR="0026040C" w:rsidRPr="001F0D2A" w:rsidRDefault="0026040C" w:rsidP="0026040C">
      <w:pPr>
        <w:rPr>
          <w:rFonts w:asciiTheme="minorHAnsi" w:eastAsia="Arial" w:hAnsiTheme="minorHAnsi" w:cstheme="minorHAnsi"/>
          <w:b/>
          <w:color w:val="660033"/>
          <w:sz w:val="28"/>
          <w:szCs w:val="28"/>
        </w:rPr>
      </w:pPr>
      <w:r w:rsidRPr="001F0D2A">
        <w:rPr>
          <w:rFonts w:asciiTheme="minorHAnsi" w:eastAsia="Arial" w:hAnsiTheme="minorHAnsi" w:cstheme="minorHAnsi"/>
          <w:b/>
          <w:color w:val="660033"/>
          <w:sz w:val="28"/>
          <w:szCs w:val="28"/>
        </w:rPr>
        <w:t>AstraZeneca</w:t>
      </w:r>
    </w:p>
    <w:p w14:paraId="4350AD96" w14:textId="77777777" w:rsidR="0026040C" w:rsidRPr="001F0D2A" w:rsidRDefault="0026040C" w:rsidP="004E785C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159BC215" w14:textId="77777777" w:rsidR="00EC7ACE" w:rsidRPr="001F0D2A" w:rsidRDefault="0026040C" w:rsidP="001F0D2A">
      <w:pPr>
        <w:jc w:val="both"/>
        <w:rPr>
          <w:rFonts w:asciiTheme="minorHAnsi" w:hAnsiTheme="minorHAnsi" w:cstheme="minorHAnsi"/>
          <w:sz w:val="24"/>
          <w:szCs w:val="24"/>
        </w:rPr>
      </w:pPr>
      <w:r w:rsidRPr="001F0D2A">
        <w:rPr>
          <w:rFonts w:asciiTheme="minorHAnsi" w:hAnsiTheme="minorHAnsi" w:cstheme="minorHAnsi"/>
          <w:sz w:val="24"/>
          <w:szCs w:val="24"/>
        </w:rPr>
        <w:t xml:space="preserve">AstraZeneca è un’azienda biofarmaceutica globale focalizzata sulla ricerca scientifica, sullo sviluppo e sulla commercializzazione di farmaci etici per il trattamento di patologie oncologiche, cardiovascolari, renali, metaboliche, respiratorie e immunologiche. </w:t>
      </w:r>
    </w:p>
    <w:p w14:paraId="2452F0DD" w14:textId="02CED330" w:rsidR="0058377D" w:rsidRPr="001F0D2A" w:rsidRDefault="0058377D" w:rsidP="001F0D2A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53888E03" w14:textId="77777777" w:rsidR="00847A59" w:rsidRPr="001F0D2A" w:rsidRDefault="00847A59" w:rsidP="004E785C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03A1986A" w14:textId="7F840B80" w:rsidR="0058377D" w:rsidRPr="00100720" w:rsidRDefault="00100720" w:rsidP="0058377D">
      <w:pPr>
        <w:pStyle w:val="Boldbodytext"/>
        <w:jc w:val="both"/>
        <w:rPr>
          <w:rFonts w:asciiTheme="minorHAnsi" w:eastAsia="Arial" w:hAnsiTheme="minorHAnsi" w:cstheme="minorHAnsi"/>
          <w:bCs w:val="0"/>
          <w:color w:val="660033"/>
          <w:sz w:val="28"/>
          <w:szCs w:val="28"/>
          <w:u w:val="single"/>
          <w:lang w:val="it-IT"/>
        </w:rPr>
      </w:pPr>
      <w:r>
        <w:rPr>
          <w:rFonts w:asciiTheme="minorHAnsi" w:eastAsia="Arial" w:hAnsiTheme="minorHAnsi" w:cstheme="minorHAnsi"/>
          <w:bCs w:val="0"/>
          <w:color w:val="660033"/>
          <w:sz w:val="28"/>
          <w:szCs w:val="28"/>
          <w:u w:val="single"/>
          <w:lang w:val="it-IT"/>
        </w:rPr>
        <w:t>I numer</w:t>
      </w:r>
      <w:r w:rsidR="00FB525A">
        <w:rPr>
          <w:rFonts w:asciiTheme="minorHAnsi" w:eastAsia="Arial" w:hAnsiTheme="minorHAnsi" w:cstheme="minorHAnsi"/>
          <w:bCs w:val="0"/>
          <w:color w:val="660033"/>
          <w:sz w:val="28"/>
          <w:szCs w:val="28"/>
          <w:u w:val="single"/>
          <w:lang w:val="it-IT"/>
        </w:rPr>
        <w:t>i</w:t>
      </w:r>
      <w:r>
        <w:rPr>
          <w:rFonts w:asciiTheme="minorHAnsi" w:eastAsia="Arial" w:hAnsiTheme="minorHAnsi" w:cstheme="minorHAnsi"/>
          <w:bCs w:val="0"/>
          <w:color w:val="660033"/>
          <w:sz w:val="28"/>
          <w:szCs w:val="28"/>
          <w:u w:val="single"/>
          <w:lang w:val="it-IT"/>
        </w:rPr>
        <w:t xml:space="preserve"> di A</w:t>
      </w:r>
      <w:r w:rsidR="0058377D" w:rsidRPr="001F0D2A">
        <w:rPr>
          <w:rFonts w:asciiTheme="minorHAnsi" w:eastAsia="Arial" w:hAnsiTheme="minorHAnsi" w:cstheme="minorHAnsi"/>
          <w:bCs w:val="0"/>
          <w:color w:val="660033"/>
          <w:sz w:val="28"/>
          <w:szCs w:val="28"/>
          <w:u w:val="single"/>
          <w:lang w:val="it-IT"/>
        </w:rPr>
        <w:t>straZeneca nel mondo</w:t>
      </w:r>
    </w:p>
    <w:p w14:paraId="1E783FCA" w14:textId="34B2FB5C" w:rsidR="0058377D" w:rsidRPr="001F0D2A" w:rsidRDefault="0058377D" w:rsidP="0058377D">
      <w:pPr>
        <w:pStyle w:val="Boldbodytext"/>
        <w:numPr>
          <w:ilvl w:val="0"/>
          <w:numId w:val="1"/>
        </w:numPr>
        <w:jc w:val="both"/>
        <w:rPr>
          <w:rFonts w:asciiTheme="minorHAnsi" w:eastAsia="Arial" w:hAnsiTheme="minorHAnsi" w:cstheme="minorHAnsi"/>
          <w:color w:val="auto"/>
          <w:sz w:val="24"/>
          <w:szCs w:val="24"/>
          <w:lang w:val="it-IT"/>
        </w:rPr>
      </w:pPr>
      <w:r w:rsidRPr="001F0D2A">
        <w:rPr>
          <w:rFonts w:asciiTheme="minorHAnsi" w:eastAsia="Arial" w:hAnsiTheme="minorHAnsi" w:cstheme="minorHAnsi"/>
          <w:bCs w:val="0"/>
          <w:color w:val="auto"/>
          <w:sz w:val="24"/>
          <w:szCs w:val="24"/>
          <w:lang w:val="it-IT"/>
        </w:rPr>
        <w:t xml:space="preserve">76.200 </w:t>
      </w:r>
      <w:r w:rsidRPr="001F0D2A">
        <w:rPr>
          <w:rFonts w:asciiTheme="minorHAnsi" w:eastAsia="Arial" w:hAnsiTheme="minorHAnsi" w:cstheme="minorHAnsi"/>
          <w:b w:val="0"/>
          <w:bCs w:val="0"/>
          <w:color w:val="auto"/>
          <w:sz w:val="24"/>
          <w:szCs w:val="24"/>
          <w:lang w:val="it-IT"/>
        </w:rPr>
        <w:t xml:space="preserve">dipendenti in </w:t>
      </w:r>
      <w:r w:rsidRPr="001F0D2A">
        <w:rPr>
          <w:rFonts w:asciiTheme="minorHAnsi" w:eastAsia="Arial" w:hAnsiTheme="minorHAnsi" w:cstheme="minorHAnsi"/>
          <w:color w:val="auto"/>
          <w:sz w:val="24"/>
          <w:szCs w:val="24"/>
          <w:lang w:val="it-IT"/>
        </w:rPr>
        <w:t>oltre 100 Paesi</w:t>
      </w:r>
    </w:p>
    <w:p w14:paraId="4024813B" w14:textId="77777777" w:rsidR="0058377D" w:rsidRPr="001F0D2A" w:rsidRDefault="0058377D" w:rsidP="0058377D">
      <w:pPr>
        <w:pStyle w:val="Boldbodytext"/>
        <w:numPr>
          <w:ilvl w:val="0"/>
          <w:numId w:val="1"/>
        </w:numPr>
        <w:jc w:val="both"/>
        <w:rPr>
          <w:rFonts w:asciiTheme="minorHAnsi" w:eastAsia="Arial" w:hAnsiTheme="minorHAnsi" w:cstheme="minorHAnsi"/>
          <w:bCs w:val="0"/>
          <w:color w:val="auto"/>
          <w:sz w:val="24"/>
          <w:szCs w:val="24"/>
          <w:lang w:val="it-IT"/>
        </w:rPr>
      </w:pPr>
      <w:r w:rsidRPr="001F0D2A">
        <w:rPr>
          <w:rFonts w:asciiTheme="minorHAnsi" w:eastAsia="Arial" w:hAnsiTheme="minorHAnsi" w:cstheme="minorHAnsi"/>
          <w:bCs w:val="0"/>
          <w:color w:val="auto"/>
          <w:sz w:val="24"/>
          <w:szCs w:val="24"/>
          <w:lang w:val="it-IT"/>
        </w:rPr>
        <w:t xml:space="preserve">$26,6 miliardi </w:t>
      </w:r>
      <w:r w:rsidRPr="001F0D2A">
        <w:rPr>
          <w:rFonts w:asciiTheme="minorHAnsi" w:eastAsia="Arial" w:hAnsiTheme="minorHAnsi" w:cstheme="minorHAnsi"/>
          <w:b w:val="0"/>
          <w:bCs w:val="0"/>
          <w:color w:val="auto"/>
          <w:sz w:val="24"/>
          <w:szCs w:val="24"/>
          <w:lang w:val="it-IT"/>
        </w:rPr>
        <w:t>di fatturato nel 2020</w:t>
      </w:r>
    </w:p>
    <w:p w14:paraId="537E85CE" w14:textId="617D9282" w:rsidR="0058377D" w:rsidRPr="00B20482" w:rsidRDefault="0058377D" w:rsidP="0058377D">
      <w:pPr>
        <w:pStyle w:val="Boldbodytext"/>
        <w:numPr>
          <w:ilvl w:val="0"/>
          <w:numId w:val="1"/>
        </w:numPr>
        <w:jc w:val="both"/>
        <w:rPr>
          <w:rFonts w:asciiTheme="minorHAnsi" w:eastAsia="Arial" w:hAnsiTheme="minorHAnsi" w:cstheme="minorHAnsi"/>
          <w:bCs w:val="0"/>
          <w:color w:val="auto"/>
          <w:sz w:val="24"/>
          <w:szCs w:val="24"/>
          <w:lang w:val="it-IT"/>
        </w:rPr>
      </w:pPr>
      <w:r w:rsidRPr="00B20482">
        <w:rPr>
          <w:rFonts w:asciiTheme="minorHAnsi" w:eastAsia="Arial" w:hAnsiTheme="minorHAnsi" w:cstheme="minorHAnsi"/>
          <w:bCs w:val="0"/>
          <w:color w:val="auto"/>
          <w:sz w:val="24"/>
          <w:szCs w:val="24"/>
          <w:lang w:val="it-IT"/>
        </w:rPr>
        <w:t>$</w:t>
      </w:r>
      <w:r w:rsidR="00B20482">
        <w:rPr>
          <w:rFonts w:asciiTheme="minorHAnsi" w:eastAsia="Arial" w:hAnsiTheme="minorHAnsi" w:cstheme="minorHAnsi"/>
          <w:bCs w:val="0"/>
          <w:color w:val="auto"/>
          <w:sz w:val="24"/>
          <w:szCs w:val="24"/>
          <w:lang w:val="it-IT"/>
        </w:rPr>
        <w:t>5,9</w:t>
      </w:r>
      <w:r w:rsidRPr="00B20482">
        <w:rPr>
          <w:rFonts w:asciiTheme="minorHAnsi" w:eastAsia="Arial" w:hAnsiTheme="minorHAnsi" w:cstheme="minorHAnsi"/>
          <w:bCs w:val="0"/>
          <w:color w:val="auto"/>
          <w:sz w:val="24"/>
          <w:szCs w:val="24"/>
          <w:lang w:val="it-IT"/>
        </w:rPr>
        <w:t xml:space="preserve"> miliardi </w:t>
      </w:r>
      <w:r w:rsidRPr="00B20482">
        <w:rPr>
          <w:rFonts w:asciiTheme="minorHAnsi" w:eastAsia="Arial" w:hAnsiTheme="minorHAnsi" w:cstheme="minorHAnsi"/>
          <w:b w:val="0"/>
          <w:bCs w:val="0"/>
          <w:color w:val="auto"/>
          <w:sz w:val="24"/>
          <w:szCs w:val="24"/>
          <w:lang w:val="it-IT"/>
        </w:rPr>
        <w:t xml:space="preserve">di investimenti in Ricerca e Sviluppo nel </w:t>
      </w:r>
      <w:r w:rsidR="00B20482" w:rsidRPr="00B20482">
        <w:rPr>
          <w:rFonts w:asciiTheme="minorHAnsi" w:eastAsia="Arial" w:hAnsiTheme="minorHAnsi" w:cstheme="minorHAnsi"/>
          <w:b w:val="0"/>
          <w:bCs w:val="0"/>
          <w:color w:val="auto"/>
          <w:sz w:val="24"/>
          <w:szCs w:val="24"/>
          <w:lang w:val="it-IT"/>
        </w:rPr>
        <w:t>2020</w:t>
      </w:r>
    </w:p>
    <w:p w14:paraId="37E013B7" w14:textId="7BE09AD2" w:rsidR="0058377D" w:rsidRPr="001F0D2A" w:rsidRDefault="0058377D" w:rsidP="0058377D">
      <w:pPr>
        <w:pStyle w:val="Boldbodytext"/>
        <w:numPr>
          <w:ilvl w:val="0"/>
          <w:numId w:val="1"/>
        </w:numPr>
        <w:jc w:val="both"/>
        <w:rPr>
          <w:rFonts w:asciiTheme="minorHAnsi" w:eastAsia="Arial" w:hAnsiTheme="minorHAnsi" w:cstheme="minorHAnsi"/>
          <w:bCs w:val="0"/>
          <w:color w:val="auto"/>
          <w:sz w:val="24"/>
          <w:szCs w:val="24"/>
          <w:lang w:val="it-IT"/>
        </w:rPr>
      </w:pPr>
      <w:r w:rsidRPr="001F0D2A">
        <w:rPr>
          <w:rFonts w:asciiTheme="minorHAnsi" w:eastAsia="Arial" w:hAnsiTheme="minorHAnsi" w:cstheme="minorHAnsi"/>
          <w:bCs w:val="0"/>
          <w:color w:val="auto"/>
          <w:sz w:val="24"/>
          <w:szCs w:val="24"/>
          <w:lang w:val="it-IT"/>
        </w:rPr>
        <w:t>16</w:t>
      </w:r>
      <w:r w:rsidR="00C435B7" w:rsidRPr="001F0D2A">
        <w:rPr>
          <w:rFonts w:asciiTheme="minorHAnsi" w:eastAsia="Arial" w:hAnsiTheme="minorHAnsi" w:cstheme="minorHAnsi"/>
          <w:bCs w:val="0"/>
          <w:color w:val="auto"/>
          <w:sz w:val="24"/>
          <w:szCs w:val="24"/>
          <w:lang w:val="it-IT"/>
        </w:rPr>
        <w:t>6</w:t>
      </w:r>
      <w:r w:rsidRPr="001F0D2A">
        <w:rPr>
          <w:rFonts w:asciiTheme="minorHAnsi" w:eastAsia="Arial" w:hAnsiTheme="minorHAnsi" w:cstheme="minorHAnsi"/>
          <w:bCs w:val="0"/>
          <w:color w:val="auto"/>
          <w:sz w:val="24"/>
          <w:szCs w:val="24"/>
          <w:lang w:val="it-IT"/>
        </w:rPr>
        <w:t xml:space="preserve"> </w:t>
      </w:r>
      <w:r w:rsidRPr="001F0D2A">
        <w:rPr>
          <w:rFonts w:asciiTheme="minorHAnsi" w:eastAsia="Arial" w:hAnsiTheme="minorHAnsi" w:cstheme="minorHAnsi"/>
          <w:b w:val="0"/>
          <w:bCs w:val="0"/>
          <w:color w:val="auto"/>
          <w:sz w:val="24"/>
          <w:szCs w:val="24"/>
          <w:lang w:val="it-IT"/>
        </w:rPr>
        <w:t>progetti in sviluppo clinico</w:t>
      </w:r>
    </w:p>
    <w:p w14:paraId="2A613231" w14:textId="3B464616" w:rsidR="0058377D" w:rsidRPr="001F0D2A" w:rsidRDefault="0058377D" w:rsidP="0058377D">
      <w:pPr>
        <w:pStyle w:val="Boldbodytext"/>
        <w:numPr>
          <w:ilvl w:val="0"/>
          <w:numId w:val="1"/>
        </w:numPr>
        <w:jc w:val="both"/>
        <w:rPr>
          <w:rFonts w:asciiTheme="minorHAnsi" w:eastAsia="Arial" w:hAnsiTheme="minorHAnsi" w:cstheme="minorHAnsi"/>
          <w:bCs w:val="0"/>
          <w:color w:val="auto"/>
          <w:sz w:val="24"/>
          <w:szCs w:val="24"/>
          <w:lang w:val="it-IT"/>
        </w:rPr>
      </w:pPr>
      <w:r w:rsidRPr="001F0D2A">
        <w:rPr>
          <w:rFonts w:asciiTheme="minorHAnsi" w:eastAsia="Arial" w:hAnsiTheme="minorHAnsi" w:cstheme="minorHAnsi"/>
          <w:bCs w:val="0"/>
          <w:color w:val="auto"/>
          <w:sz w:val="24"/>
          <w:szCs w:val="24"/>
          <w:lang w:val="it-IT"/>
        </w:rPr>
        <w:t xml:space="preserve">14 </w:t>
      </w:r>
      <w:r w:rsidRPr="001F0D2A">
        <w:rPr>
          <w:rFonts w:asciiTheme="minorHAnsi" w:eastAsia="Arial" w:hAnsiTheme="minorHAnsi" w:cstheme="minorHAnsi"/>
          <w:b w:val="0"/>
          <w:bCs w:val="0"/>
          <w:color w:val="auto"/>
          <w:sz w:val="24"/>
          <w:szCs w:val="24"/>
          <w:lang w:val="it-IT"/>
        </w:rPr>
        <w:t>nuove molecole in studi di fase III</w:t>
      </w:r>
    </w:p>
    <w:p w14:paraId="1A932B73" w14:textId="77777777" w:rsidR="0058377D" w:rsidRPr="001F0D2A" w:rsidRDefault="0058377D" w:rsidP="004E785C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4AA473A7" w14:textId="21F59ED1" w:rsidR="0058377D" w:rsidRPr="001F0D2A" w:rsidRDefault="0058377D" w:rsidP="004E785C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33A1F973" w14:textId="72BA8A2F" w:rsidR="0058377D" w:rsidRPr="00100720" w:rsidRDefault="00100720" w:rsidP="0058377D">
      <w:pPr>
        <w:pStyle w:val="Boldbodytext"/>
        <w:jc w:val="both"/>
        <w:rPr>
          <w:rFonts w:asciiTheme="minorHAnsi" w:eastAsia="Arial" w:hAnsiTheme="minorHAnsi" w:cstheme="minorHAnsi"/>
          <w:bCs w:val="0"/>
          <w:color w:val="660033"/>
          <w:sz w:val="28"/>
          <w:szCs w:val="28"/>
          <w:u w:val="single"/>
          <w:lang w:val="it-IT"/>
        </w:rPr>
      </w:pPr>
      <w:bookmarkStart w:id="0" w:name="_Hlk69897667"/>
      <w:r>
        <w:rPr>
          <w:rFonts w:asciiTheme="minorHAnsi" w:eastAsia="Arial" w:hAnsiTheme="minorHAnsi" w:cstheme="minorHAnsi"/>
          <w:bCs w:val="0"/>
          <w:color w:val="660033"/>
          <w:sz w:val="28"/>
          <w:szCs w:val="28"/>
          <w:u w:val="single"/>
          <w:lang w:val="it-IT"/>
        </w:rPr>
        <w:t xml:space="preserve">I numeri di </w:t>
      </w:r>
      <w:r w:rsidR="0058377D" w:rsidRPr="001F0D2A">
        <w:rPr>
          <w:rFonts w:asciiTheme="minorHAnsi" w:eastAsia="Arial" w:hAnsiTheme="minorHAnsi" w:cstheme="minorHAnsi"/>
          <w:bCs w:val="0"/>
          <w:color w:val="660033"/>
          <w:sz w:val="28"/>
          <w:szCs w:val="28"/>
          <w:u w:val="single"/>
          <w:lang w:val="it-IT"/>
        </w:rPr>
        <w:t>AstraZeneca in Italia</w:t>
      </w:r>
    </w:p>
    <w:p w14:paraId="67EB7556" w14:textId="110C983E" w:rsidR="0058377D" w:rsidRPr="001F0D2A" w:rsidRDefault="00734E1F" w:rsidP="0058377D">
      <w:pPr>
        <w:pStyle w:val="Boldbodytext"/>
        <w:numPr>
          <w:ilvl w:val="0"/>
          <w:numId w:val="1"/>
        </w:numPr>
        <w:jc w:val="both"/>
        <w:rPr>
          <w:rFonts w:asciiTheme="minorHAnsi" w:eastAsia="Arial" w:hAnsiTheme="minorHAnsi" w:cstheme="minorHAnsi"/>
          <w:b w:val="0"/>
          <w:bCs w:val="0"/>
          <w:color w:val="auto"/>
          <w:sz w:val="24"/>
          <w:szCs w:val="24"/>
          <w:lang w:val="it-IT"/>
        </w:rPr>
      </w:pPr>
      <w:r>
        <w:rPr>
          <w:rFonts w:asciiTheme="minorHAnsi" w:eastAsia="Arial" w:hAnsiTheme="minorHAnsi" w:cstheme="minorHAnsi"/>
          <w:bCs w:val="0"/>
          <w:color w:val="auto"/>
          <w:sz w:val="24"/>
          <w:szCs w:val="24"/>
          <w:lang w:val="it-IT"/>
        </w:rPr>
        <w:t>800</w:t>
      </w:r>
      <w:r w:rsidR="0058377D" w:rsidRPr="001F0D2A">
        <w:rPr>
          <w:rFonts w:asciiTheme="minorHAnsi" w:eastAsia="Arial" w:hAnsiTheme="minorHAnsi" w:cstheme="minorHAnsi"/>
          <w:bCs w:val="0"/>
          <w:color w:val="auto"/>
          <w:sz w:val="24"/>
          <w:szCs w:val="24"/>
          <w:lang w:val="it-IT"/>
        </w:rPr>
        <w:t xml:space="preserve"> </w:t>
      </w:r>
      <w:r w:rsidR="0058377D" w:rsidRPr="001F0D2A">
        <w:rPr>
          <w:rFonts w:asciiTheme="minorHAnsi" w:eastAsia="Arial" w:hAnsiTheme="minorHAnsi" w:cstheme="minorHAnsi"/>
          <w:b w:val="0"/>
          <w:bCs w:val="0"/>
          <w:color w:val="auto"/>
          <w:sz w:val="24"/>
          <w:szCs w:val="24"/>
          <w:lang w:val="it-IT"/>
        </w:rPr>
        <w:t>dipendenti</w:t>
      </w:r>
    </w:p>
    <w:p w14:paraId="7EDF8FFA" w14:textId="5B18B474" w:rsidR="0058377D" w:rsidRPr="001F0D2A" w:rsidRDefault="0058377D" w:rsidP="00892CDB">
      <w:pPr>
        <w:pStyle w:val="Boldbodytext"/>
        <w:numPr>
          <w:ilvl w:val="0"/>
          <w:numId w:val="1"/>
        </w:numPr>
        <w:jc w:val="both"/>
        <w:rPr>
          <w:rFonts w:asciiTheme="minorHAnsi" w:eastAsia="Arial" w:hAnsiTheme="minorHAnsi" w:cstheme="minorHAnsi"/>
          <w:bCs w:val="0"/>
          <w:color w:val="auto"/>
          <w:sz w:val="24"/>
          <w:szCs w:val="24"/>
          <w:lang w:val="it-IT"/>
        </w:rPr>
      </w:pPr>
      <w:r w:rsidRPr="001F0D2A">
        <w:rPr>
          <w:rFonts w:asciiTheme="minorHAnsi" w:eastAsia="Arial" w:hAnsiTheme="minorHAnsi" w:cstheme="minorHAnsi"/>
          <w:bCs w:val="0"/>
          <w:color w:val="auto"/>
          <w:sz w:val="24"/>
          <w:szCs w:val="24"/>
          <w:lang w:val="it-IT"/>
        </w:rPr>
        <w:t>€</w:t>
      </w:r>
      <w:r w:rsidR="00022ED4">
        <w:rPr>
          <w:rFonts w:asciiTheme="minorHAnsi" w:eastAsia="Arial" w:hAnsiTheme="minorHAnsi" w:cstheme="minorHAnsi"/>
          <w:bCs w:val="0"/>
          <w:color w:val="auto"/>
          <w:sz w:val="24"/>
          <w:szCs w:val="24"/>
          <w:lang w:val="it-IT"/>
        </w:rPr>
        <w:t>436</w:t>
      </w:r>
      <w:r w:rsidRPr="001F0D2A">
        <w:rPr>
          <w:rFonts w:asciiTheme="minorHAnsi" w:eastAsia="Arial" w:hAnsiTheme="minorHAnsi" w:cstheme="minorHAnsi"/>
          <w:bCs w:val="0"/>
          <w:color w:val="auto"/>
          <w:sz w:val="24"/>
          <w:szCs w:val="24"/>
          <w:lang w:val="it-IT"/>
        </w:rPr>
        <w:t xml:space="preserve"> milioni </w:t>
      </w:r>
      <w:r w:rsidRPr="001F0D2A">
        <w:rPr>
          <w:rFonts w:asciiTheme="minorHAnsi" w:eastAsia="Arial" w:hAnsiTheme="minorHAnsi" w:cstheme="minorHAnsi"/>
          <w:b w:val="0"/>
          <w:bCs w:val="0"/>
          <w:color w:val="auto"/>
          <w:sz w:val="24"/>
          <w:szCs w:val="24"/>
          <w:lang w:val="it-IT"/>
        </w:rPr>
        <w:t>di fatturato nel 2020</w:t>
      </w:r>
    </w:p>
    <w:p w14:paraId="61A36719" w14:textId="77777777" w:rsidR="0058377D" w:rsidRPr="00100720" w:rsidRDefault="0058377D" w:rsidP="0058377D">
      <w:pPr>
        <w:pStyle w:val="Boldbodytext"/>
        <w:numPr>
          <w:ilvl w:val="0"/>
          <w:numId w:val="1"/>
        </w:numPr>
        <w:tabs>
          <w:tab w:val="clear" w:pos="1543"/>
          <w:tab w:val="clear" w:pos="3105"/>
          <w:tab w:val="clear" w:pos="4089"/>
          <w:tab w:val="clear" w:pos="6133"/>
        </w:tabs>
        <w:suppressAutoHyphens w:val="0"/>
        <w:adjustRightInd/>
        <w:jc w:val="both"/>
        <w:textAlignment w:val="auto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100720">
        <w:rPr>
          <w:rFonts w:asciiTheme="minorHAnsi" w:hAnsiTheme="minorHAnsi" w:cstheme="minorHAnsi"/>
          <w:color w:val="auto"/>
          <w:sz w:val="24"/>
          <w:szCs w:val="24"/>
          <w:lang w:val="it-IT"/>
        </w:rPr>
        <w:t xml:space="preserve">€20 milioni </w:t>
      </w:r>
      <w:r w:rsidRPr="00100720">
        <w:rPr>
          <w:rFonts w:asciiTheme="minorHAnsi" w:hAnsiTheme="minorHAnsi" w:cstheme="minorHAnsi"/>
          <w:b w:val="0"/>
          <w:bCs w:val="0"/>
          <w:color w:val="auto"/>
          <w:sz w:val="24"/>
          <w:szCs w:val="24"/>
          <w:lang w:val="it-IT"/>
        </w:rPr>
        <w:t>di investimenti in Ricerca e Sviluppo nel 2020</w:t>
      </w:r>
    </w:p>
    <w:p w14:paraId="54B71EE5" w14:textId="1FCA95EF" w:rsidR="0058377D" w:rsidRPr="00100720" w:rsidRDefault="0058377D" w:rsidP="0058377D">
      <w:pPr>
        <w:pStyle w:val="Boldbodytext"/>
        <w:numPr>
          <w:ilvl w:val="0"/>
          <w:numId w:val="1"/>
        </w:numPr>
        <w:tabs>
          <w:tab w:val="clear" w:pos="1543"/>
          <w:tab w:val="clear" w:pos="3105"/>
          <w:tab w:val="clear" w:pos="4089"/>
          <w:tab w:val="clear" w:pos="6133"/>
        </w:tabs>
        <w:suppressAutoHyphens w:val="0"/>
        <w:adjustRightInd/>
        <w:jc w:val="both"/>
        <w:textAlignment w:val="auto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100720">
        <w:rPr>
          <w:rFonts w:asciiTheme="minorHAnsi" w:hAnsiTheme="minorHAnsi" w:cstheme="minorHAnsi"/>
          <w:color w:val="auto"/>
          <w:sz w:val="24"/>
          <w:szCs w:val="24"/>
          <w:lang w:val="it-IT"/>
        </w:rPr>
        <w:t xml:space="preserve">83 </w:t>
      </w:r>
      <w:r w:rsidRPr="00100720">
        <w:rPr>
          <w:rFonts w:asciiTheme="minorHAnsi" w:hAnsiTheme="minorHAnsi" w:cstheme="minorHAnsi"/>
          <w:b w:val="0"/>
          <w:bCs w:val="0"/>
          <w:color w:val="auto"/>
          <w:sz w:val="24"/>
          <w:szCs w:val="24"/>
          <w:lang w:val="it-IT"/>
        </w:rPr>
        <w:t>studi clinici in 500 centri</w:t>
      </w:r>
    </w:p>
    <w:p w14:paraId="102917DA" w14:textId="77777777" w:rsidR="0058377D" w:rsidRPr="001F0D2A" w:rsidRDefault="0058377D" w:rsidP="0058377D">
      <w:pPr>
        <w:pStyle w:val="Boldbodytext"/>
        <w:numPr>
          <w:ilvl w:val="0"/>
          <w:numId w:val="1"/>
        </w:numPr>
        <w:jc w:val="both"/>
        <w:rPr>
          <w:rFonts w:asciiTheme="minorHAnsi" w:eastAsia="Arial" w:hAnsiTheme="minorHAnsi" w:cstheme="minorHAnsi"/>
          <w:bCs w:val="0"/>
          <w:color w:val="auto"/>
          <w:sz w:val="24"/>
          <w:szCs w:val="24"/>
          <w:lang w:val="it-IT"/>
        </w:rPr>
      </w:pPr>
      <w:r w:rsidRPr="001F0D2A">
        <w:rPr>
          <w:rFonts w:asciiTheme="minorHAnsi" w:eastAsia="Arial" w:hAnsiTheme="minorHAnsi" w:cstheme="minorHAnsi"/>
          <w:bCs w:val="0"/>
          <w:color w:val="auto"/>
          <w:sz w:val="24"/>
          <w:szCs w:val="24"/>
          <w:lang w:val="it-IT"/>
        </w:rPr>
        <w:t xml:space="preserve">71 </w:t>
      </w:r>
      <w:r w:rsidRPr="001F0D2A">
        <w:rPr>
          <w:rFonts w:asciiTheme="minorHAnsi" w:eastAsia="Arial" w:hAnsiTheme="minorHAnsi" w:cstheme="minorHAnsi"/>
          <w:b w:val="0"/>
          <w:bCs w:val="0"/>
          <w:color w:val="auto"/>
          <w:sz w:val="24"/>
          <w:szCs w:val="24"/>
          <w:lang w:val="it-IT"/>
        </w:rPr>
        <w:t>studi di ricerca indipendente supportati (</w:t>
      </w:r>
      <w:proofErr w:type="spellStart"/>
      <w:r w:rsidRPr="001F0D2A">
        <w:rPr>
          <w:rFonts w:asciiTheme="minorHAnsi" w:eastAsia="Arial" w:hAnsiTheme="minorHAnsi" w:cstheme="minorHAnsi"/>
          <w:b w:val="0"/>
          <w:bCs w:val="0"/>
          <w:color w:val="auto"/>
          <w:sz w:val="24"/>
          <w:szCs w:val="24"/>
          <w:lang w:val="it-IT"/>
        </w:rPr>
        <w:t>Externally</w:t>
      </w:r>
      <w:proofErr w:type="spellEnd"/>
      <w:r w:rsidRPr="001F0D2A">
        <w:rPr>
          <w:rFonts w:asciiTheme="minorHAnsi" w:eastAsia="Arial" w:hAnsiTheme="minorHAnsi" w:cstheme="minorHAnsi"/>
          <w:b w:val="0"/>
          <w:bCs w:val="0"/>
          <w:color w:val="auto"/>
          <w:sz w:val="24"/>
          <w:szCs w:val="24"/>
          <w:lang w:val="it-IT"/>
        </w:rPr>
        <w:t xml:space="preserve"> </w:t>
      </w:r>
      <w:proofErr w:type="spellStart"/>
      <w:r w:rsidRPr="001F0D2A">
        <w:rPr>
          <w:rFonts w:asciiTheme="minorHAnsi" w:eastAsia="Arial" w:hAnsiTheme="minorHAnsi" w:cstheme="minorHAnsi"/>
          <w:b w:val="0"/>
          <w:bCs w:val="0"/>
          <w:color w:val="auto"/>
          <w:sz w:val="24"/>
          <w:szCs w:val="24"/>
          <w:lang w:val="it-IT"/>
        </w:rPr>
        <w:t>Sponsored</w:t>
      </w:r>
      <w:proofErr w:type="spellEnd"/>
      <w:r w:rsidRPr="001F0D2A">
        <w:rPr>
          <w:rFonts w:asciiTheme="minorHAnsi" w:eastAsia="Arial" w:hAnsiTheme="minorHAnsi" w:cstheme="minorHAnsi"/>
          <w:b w:val="0"/>
          <w:bCs w:val="0"/>
          <w:color w:val="auto"/>
          <w:sz w:val="24"/>
          <w:szCs w:val="24"/>
          <w:lang w:val="it-IT"/>
        </w:rPr>
        <w:t xml:space="preserve"> Scientific </w:t>
      </w:r>
      <w:proofErr w:type="spellStart"/>
      <w:r w:rsidRPr="001F0D2A">
        <w:rPr>
          <w:rFonts w:asciiTheme="minorHAnsi" w:eastAsia="Arial" w:hAnsiTheme="minorHAnsi" w:cstheme="minorHAnsi"/>
          <w:b w:val="0"/>
          <w:bCs w:val="0"/>
          <w:color w:val="auto"/>
          <w:sz w:val="24"/>
          <w:szCs w:val="24"/>
          <w:lang w:val="it-IT"/>
        </w:rPr>
        <w:t>Research</w:t>
      </w:r>
      <w:proofErr w:type="spellEnd"/>
      <w:r w:rsidRPr="001F0D2A">
        <w:rPr>
          <w:rFonts w:asciiTheme="minorHAnsi" w:eastAsia="Arial" w:hAnsiTheme="minorHAnsi" w:cstheme="minorHAnsi"/>
          <w:b w:val="0"/>
          <w:bCs w:val="0"/>
          <w:color w:val="auto"/>
          <w:sz w:val="24"/>
          <w:szCs w:val="24"/>
          <w:lang w:val="it-IT"/>
        </w:rPr>
        <w:t>)</w:t>
      </w:r>
    </w:p>
    <w:bookmarkEnd w:id="0"/>
    <w:p w14:paraId="66DA86E6" w14:textId="6EAC0B38" w:rsidR="0058377D" w:rsidRPr="001F0D2A" w:rsidRDefault="0058377D" w:rsidP="004E785C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17838901" w14:textId="77777777" w:rsidR="0058377D" w:rsidRPr="001F0D2A" w:rsidRDefault="0058377D" w:rsidP="004E785C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281C784A" w14:textId="06BAC559" w:rsidR="00106280" w:rsidRPr="007964DC" w:rsidRDefault="007964DC" w:rsidP="007964DC">
      <w:pPr>
        <w:pStyle w:val="Boldbodytext"/>
        <w:jc w:val="both"/>
        <w:rPr>
          <w:rFonts w:asciiTheme="minorHAnsi" w:eastAsia="Arial" w:hAnsiTheme="minorHAnsi" w:cstheme="minorHAnsi"/>
          <w:bCs w:val="0"/>
          <w:color w:val="660033"/>
          <w:sz w:val="28"/>
          <w:szCs w:val="28"/>
          <w:u w:val="single"/>
          <w:lang w:val="it-IT"/>
        </w:rPr>
      </w:pPr>
      <w:proofErr w:type="spellStart"/>
      <w:r w:rsidRPr="007964DC">
        <w:rPr>
          <w:rFonts w:asciiTheme="minorHAnsi" w:eastAsia="Arial" w:hAnsiTheme="minorHAnsi" w:cstheme="minorHAnsi"/>
          <w:bCs w:val="0"/>
          <w:color w:val="660033"/>
          <w:sz w:val="28"/>
          <w:szCs w:val="28"/>
          <w:u w:val="single"/>
          <w:lang w:val="it-IT"/>
        </w:rPr>
        <w:t>Astrazeneca</w:t>
      </w:r>
      <w:proofErr w:type="spellEnd"/>
      <w:r w:rsidRPr="007964DC">
        <w:rPr>
          <w:rFonts w:asciiTheme="minorHAnsi" w:eastAsia="Arial" w:hAnsiTheme="minorHAnsi" w:cstheme="minorHAnsi"/>
          <w:bCs w:val="0"/>
          <w:color w:val="660033"/>
          <w:sz w:val="28"/>
          <w:szCs w:val="28"/>
          <w:u w:val="single"/>
          <w:lang w:val="it-IT"/>
        </w:rPr>
        <w:t xml:space="preserve"> in onco-ematologia</w:t>
      </w:r>
    </w:p>
    <w:p w14:paraId="36FEB3F2" w14:textId="77777777" w:rsidR="00A3346C" w:rsidRDefault="00A3346C" w:rsidP="004E785C">
      <w:pPr>
        <w:jc w:val="both"/>
        <w:rPr>
          <w:rFonts w:asciiTheme="minorHAnsi" w:eastAsia="Arial" w:hAnsiTheme="minorHAnsi" w:cstheme="minorHAnsi"/>
          <w:b/>
          <w:color w:val="660033"/>
          <w:sz w:val="28"/>
          <w:szCs w:val="28"/>
          <w:u w:val="single"/>
        </w:rPr>
      </w:pPr>
    </w:p>
    <w:p w14:paraId="4CF92FC3" w14:textId="5302BCB9" w:rsidR="00C946E8" w:rsidRDefault="00C946E8" w:rsidP="00C946E8">
      <w:pPr>
        <w:pStyle w:val="Boldbodytext"/>
        <w:spacing w:line="240" w:lineRule="auto"/>
        <w:jc w:val="both"/>
        <w:rPr>
          <w:rFonts w:asciiTheme="minorHAnsi" w:eastAsia="Arial" w:hAnsiTheme="minorHAnsi" w:cstheme="minorHAnsi"/>
          <w:b w:val="0"/>
          <w:bCs w:val="0"/>
          <w:color w:val="auto"/>
          <w:sz w:val="24"/>
          <w:szCs w:val="24"/>
          <w:lang w:val="it-IT"/>
        </w:rPr>
      </w:pPr>
      <w:r w:rsidRPr="001F0D2A">
        <w:rPr>
          <w:rFonts w:asciiTheme="minorHAnsi" w:eastAsia="Arial" w:hAnsiTheme="minorHAnsi" w:cstheme="minorHAnsi"/>
          <w:b w:val="0"/>
          <w:bCs w:val="0"/>
          <w:color w:val="auto"/>
          <w:sz w:val="24"/>
          <w:szCs w:val="24"/>
          <w:lang w:val="it-IT"/>
        </w:rPr>
        <w:t xml:space="preserve">La nostra ambizione è quella di ampliare i confini della scienza </w:t>
      </w:r>
      <w:r>
        <w:rPr>
          <w:rFonts w:asciiTheme="minorHAnsi" w:eastAsia="Arial" w:hAnsiTheme="minorHAnsi" w:cstheme="minorHAnsi"/>
          <w:b w:val="0"/>
          <w:bCs w:val="0"/>
          <w:color w:val="auto"/>
          <w:sz w:val="24"/>
          <w:szCs w:val="24"/>
          <w:lang w:val="it-IT"/>
        </w:rPr>
        <w:t>guidando una vera e propria rivoluzione che possa, un giorno, ridefinire la cura delle patologie oncologic</w:t>
      </w:r>
      <w:r w:rsidR="00076E02">
        <w:rPr>
          <w:rFonts w:asciiTheme="minorHAnsi" w:eastAsia="Arial" w:hAnsiTheme="minorHAnsi" w:cstheme="minorHAnsi"/>
          <w:b w:val="0"/>
          <w:bCs w:val="0"/>
          <w:color w:val="auto"/>
          <w:sz w:val="24"/>
          <w:szCs w:val="24"/>
          <w:lang w:val="it-IT"/>
        </w:rPr>
        <w:t>h</w:t>
      </w:r>
      <w:r>
        <w:rPr>
          <w:rFonts w:asciiTheme="minorHAnsi" w:eastAsia="Arial" w:hAnsiTheme="minorHAnsi" w:cstheme="minorHAnsi"/>
          <w:b w:val="0"/>
          <w:bCs w:val="0"/>
          <w:color w:val="auto"/>
          <w:sz w:val="24"/>
          <w:szCs w:val="24"/>
          <w:lang w:val="it-IT"/>
        </w:rPr>
        <w:t>e. Non soltanto in termini di nuove, sempre più mirate ed efficaci soluzioni terapeutiche. C</w:t>
      </w:r>
      <w:r w:rsidRPr="00714FA7">
        <w:rPr>
          <w:rFonts w:asciiTheme="minorHAnsi" w:eastAsia="Arial" w:hAnsiTheme="minorHAnsi" w:cstheme="minorHAnsi"/>
          <w:b w:val="0"/>
          <w:bCs w:val="0"/>
          <w:color w:val="auto"/>
          <w:sz w:val="24"/>
          <w:szCs w:val="24"/>
          <w:lang w:val="it-IT"/>
        </w:rPr>
        <w:t xml:space="preserve">rediamo fortemente nella collaborazione con tutti gli attori del Sistema Salute, affinché </w:t>
      </w:r>
      <w:r>
        <w:rPr>
          <w:rFonts w:asciiTheme="minorHAnsi" w:eastAsia="Arial" w:hAnsiTheme="minorHAnsi" w:cstheme="minorHAnsi"/>
          <w:b w:val="0"/>
          <w:bCs w:val="0"/>
          <w:color w:val="auto"/>
          <w:sz w:val="24"/>
          <w:szCs w:val="24"/>
          <w:lang w:val="it-IT"/>
        </w:rPr>
        <w:t>le intuizioni che l</w:t>
      </w:r>
      <w:r w:rsidRPr="00714FA7">
        <w:rPr>
          <w:rFonts w:asciiTheme="minorHAnsi" w:eastAsia="Arial" w:hAnsiTheme="minorHAnsi" w:cstheme="minorHAnsi"/>
          <w:b w:val="0"/>
          <w:bCs w:val="0"/>
          <w:color w:val="auto"/>
          <w:sz w:val="24"/>
          <w:szCs w:val="24"/>
          <w:lang w:val="it-IT"/>
        </w:rPr>
        <w:t>a nostra Ricerca</w:t>
      </w:r>
      <w:r>
        <w:rPr>
          <w:rFonts w:asciiTheme="minorHAnsi" w:eastAsia="Arial" w:hAnsiTheme="minorHAnsi" w:cstheme="minorHAnsi"/>
          <w:b w:val="0"/>
          <w:bCs w:val="0"/>
          <w:color w:val="auto"/>
          <w:sz w:val="24"/>
          <w:szCs w:val="24"/>
          <w:lang w:val="it-IT"/>
        </w:rPr>
        <w:t xml:space="preserve"> persegue</w:t>
      </w:r>
      <w:r w:rsidRPr="00714FA7">
        <w:rPr>
          <w:rFonts w:asciiTheme="minorHAnsi" w:eastAsia="Arial" w:hAnsiTheme="minorHAnsi" w:cstheme="minorHAnsi"/>
          <w:b w:val="0"/>
          <w:bCs w:val="0"/>
          <w:color w:val="auto"/>
          <w:sz w:val="24"/>
          <w:szCs w:val="24"/>
          <w:lang w:val="it-IT"/>
        </w:rPr>
        <w:t xml:space="preserve"> incontri</w:t>
      </w:r>
      <w:r>
        <w:rPr>
          <w:rFonts w:asciiTheme="minorHAnsi" w:eastAsia="Arial" w:hAnsiTheme="minorHAnsi" w:cstheme="minorHAnsi"/>
          <w:b w:val="0"/>
          <w:bCs w:val="0"/>
          <w:color w:val="auto"/>
          <w:sz w:val="24"/>
          <w:szCs w:val="24"/>
          <w:lang w:val="it-IT"/>
        </w:rPr>
        <w:t>no</w:t>
      </w:r>
      <w:r w:rsidRPr="00714FA7">
        <w:rPr>
          <w:rFonts w:asciiTheme="minorHAnsi" w:eastAsia="Arial" w:hAnsiTheme="minorHAnsi" w:cstheme="minorHAnsi"/>
          <w:b w:val="0"/>
          <w:bCs w:val="0"/>
          <w:color w:val="auto"/>
          <w:sz w:val="24"/>
          <w:szCs w:val="24"/>
          <w:lang w:val="it-IT"/>
        </w:rPr>
        <w:t xml:space="preserve"> soluzioni che possano migliorare i percorsi di cura dei pazienti.</w:t>
      </w:r>
      <w:r>
        <w:rPr>
          <w:rFonts w:asciiTheme="minorHAnsi" w:eastAsia="Arial" w:hAnsiTheme="minorHAnsi" w:cstheme="minorHAnsi"/>
          <w:b w:val="0"/>
          <w:bCs w:val="0"/>
          <w:color w:val="auto"/>
          <w:sz w:val="24"/>
          <w:szCs w:val="24"/>
          <w:lang w:val="it-IT"/>
        </w:rPr>
        <w:t xml:space="preserve"> </w:t>
      </w:r>
      <w:r w:rsidRPr="00714FA7">
        <w:rPr>
          <w:rFonts w:asciiTheme="minorHAnsi" w:eastAsia="Arial" w:hAnsiTheme="minorHAnsi" w:cstheme="minorHAnsi"/>
          <w:b w:val="0"/>
          <w:bCs w:val="0"/>
          <w:color w:val="auto"/>
          <w:sz w:val="24"/>
          <w:szCs w:val="24"/>
          <w:lang w:val="it-IT"/>
        </w:rPr>
        <w:t xml:space="preserve"> </w:t>
      </w:r>
    </w:p>
    <w:p w14:paraId="2F82E0BF" w14:textId="77777777" w:rsidR="00C946E8" w:rsidRPr="00FB525A" w:rsidRDefault="00C946E8" w:rsidP="00C946E8">
      <w:pPr>
        <w:pStyle w:val="Boldbodytext"/>
        <w:spacing w:line="240" w:lineRule="auto"/>
        <w:jc w:val="both"/>
        <w:rPr>
          <w:rFonts w:asciiTheme="minorHAnsi" w:eastAsia="Arial" w:hAnsiTheme="minorHAnsi" w:cstheme="minorHAnsi"/>
          <w:b w:val="0"/>
          <w:bCs w:val="0"/>
          <w:color w:val="auto"/>
          <w:sz w:val="24"/>
          <w:szCs w:val="24"/>
          <w:lang w:val="it-IT"/>
        </w:rPr>
      </w:pPr>
    </w:p>
    <w:p w14:paraId="19411961" w14:textId="2B0EE5F1" w:rsidR="007964DC" w:rsidRDefault="00F703A3" w:rsidP="007964DC">
      <w:pPr>
        <w:pStyle w:val="Boldbodytext"/>
        <w:spacing w:line="240" w:lineRule="auto"/>
        <w:jc w:val="both"/>
        <w:rPr>
          <w:rFonts w:asciiTheme="minorHAnsi" w:eastAsia="Arial" w:hAnsiTheme="minorHAnsi" w:cstheme="minorHAnsi"/>
          <w:b w:val="0"/>
          <w:bCs w:val="0"/>
          <w:color w:val="auto"/>
          <w:sz w:val="24"/>
          <w:szCs w:val="24"/>
          <w:lang w:val="it-IT"/>
        </w:rPr>
      </w:pPr>
      <w:r>
        <w:rPr>
          <w:rFonts w:asciiTheme="minorHAnsi" w:eastAsia="Arial" w:hAnsiTheme="minorHAnsi" w:cstheme="minorHAnsi"/>
          <w:b w:val="0"/>
          <w:bCs w:val="0"/>
          <w:color w:val="auto"/>
          <w:sz w:val="24"/>
          <w:szCs w:val="24"/>
          <w:lang w:val="it-IT"/>
        </w:rPr>
        <w:t>A</w:t>
      </w:r>
      <w:r w:rsidR="007964DC" w:rsidRPr="007964DC">
        <w:rPr>
          <w:rFonts w:asciiTheme="minorHAnsi" w:eastAsia="Arial" w:hAnsiTheme="minorHAnsi" w:cstheme="minorHAnsi"/>
          <w:b w:val="0"/>
          <w:bCs w:val="0"/>
          <w:color w:val="auto"/>
          <w:sz w:val="24"/>
          <w:szCs w:val="24"/>
          <w:lang w:val="it-IT"/>
        </w:rPr>
        <w:t>ttraverso la continua innovazione</w:t>
      </w:r>
      <w:r>
        <w:rPr>
          <w:rFonts w:asciiTheme="minorHAnsi" w:eastAsia="Arial" w:hAnsiTheme="minorHAnsi" w:cstheme="minorHAnsi"/>
          <w:b w:val="0"/>
          <w:bCs w:val="0"/>
          <w:color w:val="auto"/>
          <w:sz w:val="24"/>
          <w:szCs w:val="24"/>
          <w:lang w:val="it-IT"/>
        </w:rPr>
        <w:t>,</w:t>
      </w:r>
      <w:r w:rsidR="007964DC" w:rsidRPr="007964DC">
        <w:rPr>
          <w:rFonts w:asciiTheme="minorHAnsi" w:eastAsia="Arial" w:hAnsiTheme="minorHAnsi" w:cstheme="minorHAnsi"/>
          <w:b w:val="0"/>
          <w:bCs w:val="0"/>
          <w:color w:val="auto"/>
          <w:sz w:val="24"/>
          <w:szCs w:val="24"/>
          <w:lang w:val="it-IT"/>
        </w:rPr>
        <w:t xml:space="preserve"> </w:t>
      </w:r>
      <w:r>
        <w:rPr>
          <w:rFonts w:asciiTheme="minorHAnsi" w:eastAsia="Arial" w:hAnsiTheme="minorHAnsi" w:cstheme="minorHAnsi"/>
          <w:b w:val="0"/>
          <w:bCs w:val="0"/>
          <w:color w:val="auto"/>
          <w:sz w:val="24"/>
          <w:szCs w:val="24"/>
          <w:lang w:val="it-IT"/>
        </w:rPr>
        <w:t>la pipeline di</w:t>
      </w:r>
      <w:r w:rsidRPr="007964DC">
        <w:rPr>
          <w:rFonts w:asciiTheme="minorHAnsi" w:eastAsia="Arial" w:hAnsiTheme="minorHAnsi" w:cstheme="minorHAnsi"/>
          <w:b w:val="0"/>
          <w:bCs w:val="0"/>
          <w:color w:val="auto"/>
          <w:sz w:val="24"/>
          <w:szCs w:val="24"/>
          <w:lang w:val="it-IT"/>
        </w:rPr>
        <w:t xml:space="preserve"> </w:t>
      </w:r>
      <w:r w:rsidR="007964DC" w:rsidRPr="007964DC">
        <w:rPr>
          <w:rFonts w:asciiTheme="minorHAnsi" w:eastAsia="Arial" w:hAnsiTheme="minorHAnsi" w:cstheme="minorHAnsi"/>
          <w:b w:val="0"/>
          <w:bCs w:val="0"/>
          <w:color w:val="auto"/>
          <w:sz w:val="24"/>
          <w:szCs w:val="24"/>
          <w:lang w:val="it-IT"/>
        </w:rPr>
        <w:t xml:space="preserve">AstraZeneca </w:t>
      </w:r>
      <w:r>
        <w:rPr>
          <w:rFonts w:asciiTheme="minorHAnsi" w:eastAsia="Arial" w:hAnsiTheme="minorHAnsi" w:cstheme="minorHAnsi"/>
          <w:b w:val="0"/>
          <w:bCs w:val="0"/>
          <w:color w:val="auto"/>
          <w:sz w:val="24"/>
          <w:szCs w:val="24"/>
          <w:lang w:val="it-IT"/>
        </w:rPr>
        <w:t xml:space="preserve">è tra le </w:t>
      </w:r>
      <w:r w:rsidR="007964DC" w:rsidRPr="007964DC">
        <w:rPr>
          <w:rFonts w:asciiTheme="minorHAnsi" w:eastAsia="Arial" w:hAnsiTheme="minorHAnsi" w:cstheme="minorHAnsi"/>
          <w:b w:val="0"/>
          <w:bCs w:val="0"/>
          <w:color w:val="auto"/>
          <w:sz w:val="24"/>
          <w:szCs w:val="24"/>
          <w:lang w:val="it-IT"/>
        </w:rPr>
        <w:t>più diversificat</w:t>
      </w:r>
      <w:r>
        <w:rPr>
          <w:rFonts w:asciiTheme="minorHAnsi" w:eastAsia="Arial" w:hAnsiTheme="minorHAnsi" w:cstheme="minorHAnsi"/>
          <w:b w:val="0"/>
          <w:bCs w:val="0"/>
          <w:color w:val="auto"/>
          <w:sz w:val="24"/>
          <w:szCs w:val="24"/>
          <w:lang w:val="it-IT"/>
        </w:rPr>
        <w:t>e</w:t>
      </w:r>
      <w:r w:rsidR="00076E02">
        <w:rPr>
          <w:rFonts w:asciiTheme="minorHAnsi" w:eastAsia="Arial" w:hAnsiTheme="minorHAnsi" w:cstheme="minorHAnsi"/>
          <w:b w:val="0"/>
          <w:bCs w:val="0"/>
          <w:color w:val="auto"/>
          <w:sz w:val="24"/>
          <w:szCs w:val="24"/>
          <w:lang w:val="it-IT"/>
        </w:rPr>
        <w:t xml:space="preserve"> </w:t>
      </w:r>
      <w:r w:rsidR="007964DC" w:rsidRPr="007964DC">
        <w:rPr>
          <w:rFonts w:asciiTheme="minorHAnsi" w:eastAsia="Arial" w:hAnsiTheme="minorHAnsi" w:cstheme="minorHAnsi"/>
          <w:b w:val="0"/>
          <w:bCs w:val="0"/>
          <w:color w:val="auto"/>
          <w:sz w:val="24"/>
          <w:szCs w:val="24"/>
          <w:lang w:val="it-IT"/>
        </w:rPr>
        <w:t xml:space="preserve">del settore, con il potenziale </w:t>
      </w:r>
      <w:r>
        <w:rPr>
          <w:rFonts w:asciiTheme="minorHAnsi" w:eastAsia="Arial" w:hAnsiTheme="minorHAnsi" w:cstheme="minorHAnsi"/>
          <w:b w:val="0"/>
          <w:bCs w:val="0"/>
          <w:color w:val="auto"/>
          <w:sz w:val="24"/>
          <w:szCs w:val="24"/>
          <w:lang w:val="it-IT"/>
        </w:rPr>
        <w:t>di trasformare la</w:t>
      </w:r>
      <w:r w:rsidR="007964DC" w:rsidRPr="007964DC">
        <w:rPr>
          <w:rFonts w:asciiTheme="minorHAnsi" w:eastAsia="Arial" w:hAnsiTheme="minorHAnsi" w:cstheme="minorHAnsi"/>
          <w:b w:val="0"/>
          <w:bCs w:val="0"/>
          <w:color w:val="auto"/>
          <w:sz w:val="24"/>
          <w:szCs w:val="24"/>
          <w:lang w:val="it-IT"/>
        </w:rPr>
        <w:t xml:space="preserve"> pratica </w:t>
      </w:r>
      <w:r>
        <w:rPr>
          <w:rFonts w:asciiTheme="minorHAnsi" w:eastAsia="Arial" w:hAnsiTheme="minorHAnsi" w:cstheme="minorHAnsi"/>
          <w:b w:val="0"/>
          <w:bCs w:val="0"/>
          <w:color w:val="auto"/>
          <w:sz w:val="24"/>
          <w:szCs w:val="24"/>
          <w:lang w:val="it-IT"/>
        </w:rPr>
        <w:t>clinic</w:t>
      </w:r>
      <w:r w:rsidRPr="007964DC">
        <w:rPr>
          <w:rFonts w:asciiTheme="minorHAnsi" w:eastAsia="Arial" w:hAnsiTheme="minorHAnsi" w:cstheme="minorHAnsi"/>
          <w:b w:val="0"/>
          <w:bCs w:val="0"/>
          <w:color w:val="auto"/>
          <w:sz w:val="24"/>
          <w:szCs w:val="24"/>
          <w:lang w:val="it-IT"/>
        </w:rPr>
        <w:t xml:space="preserve">a </w:t>
      </w:r>
      <w:r w:rsidR="007964DC" w:rsidRPr="007964DC">
        <w:rPr>
          <w:rFonts w:asciiTheme="minorHAnsi" w:eastAsia="Arial" w:hAnsiTheme="minorHAnsi" w:cstheme="minorHAnsi"/>
          <w:b w:val="0"/>
          <w:bCs w:val="0"/>
          <w:color w:val="auto"/>
          <w:sz w:val="24"/>
          <w:szCs w:val="24"/>
          <w:lang w:val="it-IT"/>
        </w:rPr>
        <w:t xml:space="preserve">e </w:t>
      </w:r>
      <w:r>
        <w:rPr>
          <w:rFonts w:asciiTheme="minorHAnsi" w:eastAsia="Arial" w:hAnsiTheme="minorHAnsi" w:cstheme="minorHAnsi"/>
          <w:b w:val="0"/>
          <w:bCs w:val="0"/>
          <w:color w:val="auto"/>
          <w:sz w:val="24"/>
          <w:szCs w:val="24"/>
          <w:lang w:val="it-IT"/>
        </w:rPr>
        <w:t>migliorare significativamente la vita delle persone che lottano contro la malattia oncologica.</w:t>
      </w:r>
      <w:r w:rsidR="007964DC">
        <w:rPr>
          <w:rFonts w:asciiTheme="minorHAnsi" w:eastAsia="Arial" w:hAnsiTheme="minorHAnsi" w:cstheme="minorHAnsi"/>
          <w:b w:val="0"/>
          <w:bCs w:val="0"/>
          <w:color w:val="auto"/>
          <w:sz w:val="24"/>
          <w:szCs w:val="24"/>
          <w:lang w:val="it-IT"/>
        </w:rPr>
        <w:t xml:space="preserve"> </w:t>
      </w:r>
    </w:p>
    <w:p w14:paraId="426429A7" w14:textId="77777777" w:rsidR="007964DC" w:rsidRDefault="007964DC" w:rsidP="007964DC">
      <w:pPr>
        <w:pStyle w:val="Boldbodytext"/>
        <w:spacing w:line="240" w:lineRule="auto"/>
        <w:jc w:val="both"/>
        <w:rPr>
          <w:rFonts w:asciiTheme="minorHAnsi" w:eastAsia="Arial" w:hAnsiTheme="minorHAnsi" w:cstheme="minorHAnsi"/>
          <w:b w:val="0"/>
          <w:bCs w:val="0"/>
          <w:color w:val="auto"/>
          <w:sz w:val="24"/>
          <w:szCs w:val="24"/>
          <w:lang w:val="it-IT"/>
        </w:rPr>
      </w:pPr>
    </w:p>
    <w:p w14:paraId="6217FB36" w14:textId="4D0D35A9" w:rsidR="00FB525A" w:rsidRPr="00FB525A" w:rsidRDefault="00FB525A" w:rsidP="00FA3C03">
      <w:pPr>
        <w:jc w:val="both"/>
        <w:rPr>
          <w:rFonts w:asciiTheme="minorHAnsi" w:eastAsia="Arial" w:hAnsiTheme="minorHAnsi" w:cstheme="minorHAnsi"/>
          <w:b/>
          <w:color w:val="660033"/>
          <w:sz w:val="28"/>
          <w:szCs w:val="28"/>
          <w:u w:val="single"/>
        </w:rPr>
      </w:pPr>
    </w:p>
    <w:p w14:paraId="5CE722B2" w14:textId="6979B449" w:rsidR="00A3346C" w:rsidRDefault="005C2D2D" w:rsidP="00106280">
      <w:pPr>
        <w:pStyle w:val="Nessunaspaziatur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 nostre aree terapeutiche:</w:t>
      </w:r>
    </w:p>
    <w:p w14:paraId="7D065624" w14:textId="3BA81C2F" w:rsidR="005C2D2D" w:rsidRDefault="005C2D2D" w:rsidP="006836C9">
      <w:pPr>
        <w:pStyle w:val="Nessunaspaziatur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C2D2D">
        <w:rPr>
          <w:rFonts w:asciiTheme="minorHAnsi" w:hAnsiTheme="minorHAnsi" w:cstheme="minorHAnsi"/>
          <w:b/>
          <w:bCs/>
          <w:sz w:val="24"/>
          <w:szCs w:val="24"/>
        </w:rPr>
        <w:t>Tumore del polmone</w:t>
      </w:r>
      <w:r>
        <w:rPr>
          <w:rFonts w:asciiTheme="minorHAnsi" w:hAnsiTheme="minorHAnsi" w:cstheme="minorHAnsi"/>
          <w:sz w:val="24"/>
          <w:szCs w:val="24"/>
        </w:rPr>
        <w:t>, con due farmaci già approvati in Italia e una pipeline di molecole innovative</w:t>
      </w:r>
    </w:p>
    <w:p w14:paraId="3B4E060D" w14:textId="5D3AE84C" w:rsidR="005C2D2D" w:rsidRDefault="005C2D2D" w:rsidP="006836C9">
      <w:pPr>
        <w:pStyle w:val="Nessunaspaziatur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C2D2D">
        <w:rPr>
          <w:rFonts w:asciiTheme="minorHAnsi" w:hAnsiTheme="minorHAnsi" w:cstheme="minorHAnsi"/>
          <w:b/>
          <w:bCs/>
          <w:sz w:val="24"/>
          <w:szCs w:val="24"/>
        </w:rPr>
        <w:t>Tumore ovarico</w:t>
      </w:r>
      <w:r>
        <w:rPr>
          <w:rFonts w:asciiTheme="minorHAnsi" w:hAnsiTheme="minorHAnsi" w:cstheme="minorHAnsi"/>
          <w:sz w:val="24"/>
          <w:szCs w:val="24"/>
        </w:rPr>
        <w:t>, con l’intento di proporre terapie mirate per la gestione terap</w:t>
      </w:r>
      <w:r w:rsidR="006D23E1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>utica di questo carcinoma</w:t>
      </w:r>
    </w:p>
    <w:p w14:paraId="582BA26A" w14:textId="05753170" w:rsidR="005C2D2D" w:rsidRDefault="005C2D2D" w:rsidP="006836C9">
      <w:pPr>
        <w:pStyle w:val="Nessunaspaziatur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C2D2D">
        <w:rPr>
          <w:rFonts w:asciiTheme="minorHAnsi" w:hAnsiTheme="minorHAnsi" w:cstheme="minorHAnsi"/>
          <w:b/>
          <w:bCs/>
          <w:sz w:val="24"/>
          <w:szCs w:val="24"/>
        </w:rPr>
        <w:t>Tumore della mammella</w:t>
      </w:r>
      <w:r>
        <w:rPr>
          <w:rFonts w:asciiTheme="minorHAnsi" w:hAnsiTheme="minorHAnsi" w:cstheme="minorHAnsi"/>
          <w:sz w:val="24"/>
          <w:szCs w:val="24"/>
        </w:rPr>
        <w:t>, con una pipeline di grande potenziale</w:t>
      </w:r>
    </w:p>
    <w:p w14:paraId="7BF640D8" w14:textId="7B694B8E" w:rsidR="005C2D2D" w:rsidRDefault="005C2D2D" w:rsidP="006836C9">
      <w:pPr>
        <w:pStyle w:val="Nessunaspaziatur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C2D2D">
        <w:rPr>
          <w:rFonts w:asciiTheme="minorHAnsi" w:hAnsiTheme="minorHAnsi" w:cstheme="minorHAnsi"/>
          <w:b/>
          <w:bCs/>
          <w:sz w:val="24"/>
          <w:szCs w:val="24"/>
        </w:rPr>
        <w:lastRenderedPageBreak/>
        <w:t>Tumori ematologici</w:t>
      </w:r>
      <w:r w:rsidRPr="005C2D2D">
        <w:rPr>
          <w:rFonts w:asciiTheme="minorHAnsi" w:hAnsiTheme="minorHAnsi" w:cstheme="minorHAnsi"/>
          <w:sz w:val="24"/>
          <w:szCs w:val="24"/>
        </w:rPr>
        <w:t>, con un programma di sviluppo che comprende oltre 25 studi clinici riguardanti monoterapie e terapie di combinazione su diverse forme di tumori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C2D2D">
        <w:rPr>
          <w:rFonts w:asciiTheme="minorHAnsi" w:hAnsiTheme="minorHAnsi" w:cstheme="minorHAnsi"/>
          <w:sz w:val="24"/>
          <w:szCs w:val="24"/>
        </w:rPr>
        <w:t>ematologici delle cellule B</w:t>
      </w:r>
    </w:p>
    <w:p w14:paraId="11847E66" w14:textId="22F1D39E" w:rsidR="005C2D2D" w:rsidRDefault="005C2D2D" w:rsidP="006836C9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p w14:paraId="32500F98" w14:textId="0A51AEC0" w:rsidR="005C2D2D" w:rsidRPr="005C2D2D" w:rsidRDefault="005C2D2D" w:rsidP="006836C9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La nostra pipeline di studi si concentra inoltre sulla lotta ai tumori di 11 diversi tipi di organi e può contare su 6 piattaforme scientifiche di ricerca: </w:t>
      </w:r>
      <w:r w:rsidR="00E44052" w:rsidRPr="00E44052">
        <w:rPr>
          <w:rFonts w:asciiTheme="minorHAnsi" w:hAnsiTheme="minorHAnsi" w:cstheme="minorHAnsi"/>
          <w:i/>
          <w:iCs/>
          <w:sz w:val="24"/>
          <w:szCs w:val="24"/>
        </w:rPr>
        <w:t xml:space="preserve">DNA </w:t>
      </w:r>
      <w:proofErr w:type="spellStart"/>
      <w:r w:rsidR="00E44052" w:rsidRPr="00E44052">
        <w:rPr>
          <w:rFonts w:asciiTheme="minorHAnsi" w:hAnsiTheme="minorHAnsi" w:cstheme="minorHAnsi"/>
          <w:i/>
          <w:iCs/>
          <w:sz w:val="24"/>
          <w:szCs w:val="24"/>
        </w:rPr>
        <w:t>Damage</w:t>
      </w:r>
      <w:proofErr w:type="spellEnd"/>
      <w:r w:rsidR="00E44052" w:rsidRPr="00E4405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E44052" w:rsidRPr="00E44052">
        <w:rPr>
          <w:rFonts w:asciiTheme="minorHAnsi" w:hAnsiTheme="minorHAnsi" w:cstheme="minorHAnsi"/>
          <w:i/>
          <w:iCs/>
          <w:sz w:val="24"/>
          <w:szCs w:val="24"/>
        </w:rPr>
        <w:t>Response</w:t>
      </w:r>
      <w:proofErr w:type="spellEnd"/>
      <w:r w:rsidR="00E44052">
        <w:rPr>
          <w:rFonts w:asciiTheme="minorHAnsi" w:hAnsiTheme="minorHAnsi" w:cstheme="minorHAnsi"/>
          <w:sz w:val="24"/>
          <w:szCs w:val="24"/>
        </w:rPr>
        <w:t xml:space="preserve">; </w:t>
      </w:r>
      <w:proofErr w:type="spellStart"/>
      <w:r w:rsidR="00E44052" w:rsidRPr="00E44052">
        <w:rPr>
          <w:rFonts w:asciiTheme="minorHAnsi" w:hAnsiTheme="minorHAnsi" w:cstheme="minorHAnsi"/>
          <w:i/>
          <w:iCs/>
          <w:sz w:val="24"/>
          <w:szCs w:val="24"/>
        </w:rPr>
        <w:t>Tumor</w:t>
      </w:r>
      <w:proofErr w:type="spellEnd"/>
      <w:r w:rsidR="00E44052" w:rsidRPr="00E44052">
        <w:rPr>
          <w:rFonts w:asciiTheme="minorHAnsi" w:hAnsiTheme="minorHAnsi" w:cstheme="minorHAnsi"/>
          <w:i/>
          <w:iCs/>
          <w:sz w:val="24"/>
          <w:szCs w:val="24"/>
        </w:rPr>
        <w:t xml:space="preserve"> Drivers </w:t>
      </w:r>
      <w:r w:rsidR="00E44052">
        <w:rPr>
          <w:rFonts w:asciiTheme="minorHAnsi" w:hAnsiTheme="minorHAnsi" w:cstheme="minorHAnsi"/>
          <w:sz w:val="24"/>
          <w:szCs w:val="24"/>
        </w:rPr>
        <w:t xml:space="preserve">and </w:t>
      </w:r>
      <w:proofErr w:type="spellStart"/>
      <w:r w:rsidR="00E44052" w:rsidRPr="00E44052">
        <w:rPr>
          <w:rFonts w:asciiTheme="minorHAnsi" w:hAnsiTheme="minorHAnsi" w:cstheme="minorHAnsi"/>
          <w:i/>
          <w:iCs/>
          <w:sz w:val="24"/>
          <w:szCs w:val="24"/>
        </w:rPr>
        <w:t>Resistance</w:t>
      </w:r>
      <w:proofErr w:type="spellEnd"/>
      <w:r w:rsidR="00E44052" w:rsidRPr="00E44052">
        <w:rPr>
          <w:rFonts w:asciiTheme="minorHAnsi" w:hAnsiTheme="minorHAnsi" w:cstheme="minorHAnsi"/>
          <w:i/>
          <w:iCs/>
          <w:sz w:val="24"/>
          <w:szCs w:val="24"/>
        </w:rPr>
        <w:t xml:space="preserve">; </w:t>
      </w:r>
      <w:proofErr w:type="spellStart"/>
      <w:r w:rsidR="00E44052" w:rsidRPr="00E44052">
        <w:rPr>
          <w:rFonts w:asciiTheme="minorHAnsi" w:hAnsiTheme="minorHAnsi" w:cstheme="minorHAnsi"/>
          <w:i/>
          <w:iCs/>
          <w:sz w:val="24"/>
          <w:szCs w:val="24"/>
        </w:rPr>
        <w:t>Immuno-Oncology</w:t>
      </w:r>
      <w:proofErr w:type="spellEnd"/>
      <w:r w:rsidR="00E44052" w:rsidRPr="00E44052">
        <w:rPr>
          <w:rFonts w:asciiTheme="minorHAnsi" w:hAnsiTheme="minorHAnsi" w:cstheme="minorHAnsi"/>
          <w:i/>
          <w:iCs/>
          <w:sz w:val="24"/>
          <w:szCs w:val="24"/>
        </w:rPr>
        <w:t xml:space="preserve">; </w:t>
      </w:r>
      <w:proofErr w:type="spellStart"/>
      <w:r w:rsidR="00E44052" w:rsidRPr="00E44052">
        <w:rPr>
          <w:rFonts w:asciiTheme="minorHAnsi" w:hAnsiTheme="minorHAnsi" w:cstheme="minorHAnsi"/>
          <w:i/>
          <w:iCs/>
          <w:sz w:val="24"/>
          <w:szCs w:val="24"/>
        </w:rPr>
        <w:t>Antibody</w:t>
      </w:r>
      <w:proofErr w:type="spellEnd"/>
      <w:r w:rsidR="00E44052" w:rsidRPr="00E44052">
        <w:rPr>
          <w:rFonts w:asciiTheme="minorHAnsi" w:hAnsiTheme="minorHAnsi" w:cstheme="minorHAnsi"/>
          <w:i/>
          <w:iCs/>
          <w:sz w:val="24"/>
          <w:szCs w:val="24"/>
        </w:rPr>
        <w:t xml:space="preserve"> Drug </w:t>
      </w:r>
      <w:proofErr w:type="spellStart"/>
      <w:r w:rsidR="00E44052" w:rsidRPr="00E44052">
        <w:rPr>
          <w:rFonts w:asciiTheme="minorHAnsi" w:hAnsiTheme="minorHAnsi" w:cstheme="minorHAnsi"/>
          <w:i/>
          <w:iCs/>
          <w:sz w:val="24"/>
          <w:szCs w:val="24"/>
        </w:rPr>
        <w:t>Conjugates</w:t>
      </w:r>
      <w:proofErr w:type="spellEnd"/>
      <w:r w:rsidR="00E44052">
        <w:rPr>
          <w:rFonts w:asciiTheme="minorHAnsi" w:hAnsiTheme="minorHAnsi" w:cstheme="minorHAnsi"/>
          <w:sz w:val="24"/>
          <w:szCs w:val="24"/>
        </w:rPr>
        <w:t xml:space="preserve">; </w:t>
      </w:r>
      <w:r w:rsidR="00E44052" w:rsidRPr="00E44052">
        <w:rPr>
          <w:rFonts w:asciiTheme="minorHAnsi" w:hAnsiTheme="minorHAnsi" w:cstheme="minorHAnsi"/>
          <w:i/>
          <w:iCs/>
          <w:sz w:val="24"/>
          <w:szCs w:val="24"/>
        </w:rPr>
        <w:t>Cell Therapy</w:t>
      </w:r>
      <w:r w:rsidR="00E44052"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 w:rsidR="00E44052" w:rsidRPr="00E44052">
        <w:rPr>
          <w:rFonts w:asciiTheme="minorHAnsi" w:hAnsiTheme="minorHAnsi" w:cstheme="minorHAnsi"/>
          <w:i/>
          <w:iCs/>
          <w:sz w:val="24"/>
          <w:szCs w:val="24"/>
        </w:rPr>
        <w:t>Epigenetics</w:t>
      </w:r>
      <w:proofErr w:type="spellEnd"/>
      <w:r w:rsidR="00E44052">
        <w:rPr>
          <w:rFonts w:asciiTheme="minorHAnsi" w:hAnsiTheme="minorHAnsi" w:cstheme="minorHAnsi"/>
          <w:sz w:val="24"/>
          <w:szCs w:val="24"/>
        </w:rPr>
        <w:t>.</w:t>
      </w:r>
    </w:p>
    <w:p w14:paraId="10882105" w14:textId="77777777" w:rsidR="00106280" w:rsidRPr="00FB525A" w:rsidRDefault="00106280" w:rsidP="00106280">
      <w:pPr>
        <w:pStyle w:val="Nessunaspaziatura"/>
        <w:rPr>
          <w:rFonts w:asciiTheme="minorHAnsi" w:eastAsia="Arial" w:hAnsiTheme="minorHAnsi" w:cstheme="minorHAnsi"/>
          <w:sz w:val="24"/>
          <w:szCs w:val="24"/>
        </w:rPr>
      </w:pPr>
    </w:p>
    <w:p w14:paraId="0DCBEE3E" w14:textId="637F8049" w:rsidR="00FB525A" w:rsidRPr="001F0D2A" w:rsidRDefault="0058377D">
      <w:pPr>
        <w:rPr>
          <w:rFonts w:asciiTheme="minorHAnsi" w:eastAsia="Arial" w:hAnsiTheme="minorHAnsi" w:cstheme="minorHAnsi"/>
          <w:b/>
          <w:color w:val="660033"/>
          <w:sz w:val="28"/>
          <w:szCs w:val="28"/>
          <w:u w:val="single"/>
        </w:rPr>
      </w:pPr>
      <w:r w:rsidRPr="001F0D2A">
        <w:rPr>
          <w:rFonts w:asciiTheme="minorHAnsi" w:eastAsia="Arial" w:hAnsiTheme="minorHAnsi" w:cstheme="minorHAnsi"/>
          <w:b/>
          <w:color w:val="660033"/>
          <w:sz w:val="28"/>
          <w:szCs w:val="28"/>
          <w:u w:val="single"/>
        </w:rPr>
        <w:t xml:space="preserve">AstraZeneca e il rapporto con </w:t>
      </w:r>
      <w:r w:rsidR="00847A59" w:rsidRPr="001F0D2A">
        <w:rPr>
          <w:rFonts w:asciiTheme="minorHAnsi" w:eastAsia="Arial" w:hAnsiTheme="minorHAnsi" w:cstheme="minorHAnsi"/>
          <w:b/>
          <w:color w:val="660033"/>
          <w:sz w:val="28"/>
          <w:szCs w:val="28"/>
          <w:u w:val="single"/>
        </w:rPr>
        <w:t>l</w:t>
      </w:r>
      <w:r w:rsidR="00E25307" w:rsidRPr="001F0D2A">
        <w:rPr>
          <w:rFonts w:asciiTheme="minorHAnsi" w:eastAsia="Arial" w:hAnsiTheme="minorHAnsi" w:cstheme="minorHAnsi"/>
          <w:b/>
          <w:color w:val="660033"/>
          <w:sz w:val="28"/>
          <w:szCs w:val="28"/>
          <w:u w:val="single"/>
        </w:rPr>
        <w:t>e Associazioni Pazienti</w:t>
      </w:r>
    </w:p>
    <w:p w14:paraId="7A9E1FF4" w14:textId="77777777" w:rsidR="001F0D2A" w:rsidRPr="001F0D2A" w:rsidRDefault="001F0D2A">
      <w:pPr>
        <w:rPr>
          <w:rFonts w:asciiTheme="minorHAnsi" w:eastAsia="Arial" w:hAnsiTheme="minorHAnsi" w:cstheme="minorHAnsi"/>
          <w:b/>
          <w:color w:val="660033"/>
          <w:sz w:val="24"/>
          <w:szCs w:val="24"/>
          <w:u w:val="single"/>
        </w:rPr>
      </w:pPr>
    </w:p>
    <w:p w14:paraId="5DD43A6D" w14:textId="468B1AC2" w:rsidR="00E25307" w:rsidRPr="001F0D2A" w:rsidRDefault="00E25307" w:rsidP="00B228D2">
      <w:pPr>
        <w:jc w:val="both"/>
        <w:rPr>
          <w:rFonts w:asciiTheme="minorHAnsi" w:hAnsiTheme="minorHAnsi" w:cstheme="minorHAnsi"/>
          <w:sz w:val="24"/>
          <w:szCs w:val="24"/>
        </w:rPr>
      </w:pPr>
      <w:r w:rsidRPr="001F0D2A">
        <w:rPr>
          <w:rFonts w:asciiTheme="minorHAnsi" w:hAnsiTheme="minorHAnsi" w:cstheme="minorHAnsi"/>
          <w:sz w:val="24"/>
          <w:szCs w:val="24"/>
        </w:rPr>
        <w:t>L’ascolto attento dei pazienti guida da sempre il nostro impegno nella ricerca e nello sviluppo di soluzioni capaci di rispondere ai loro bisogni. Lavoriamo al fianco delle Associazioni e dei principali interlocutori del sistema per migliorare ogni aspetto del nostro lavoro: dalla ricerca allo sviluppo di soluzioni terapeutiche innovative, dalla prevenzione alla promozione di una corretta informazione e al miglioramento dei percorsi di cura.</w:t>
      </w:r>
    </w:p>
    <w:p w14:paraId="732F3872" w14:textId="21CD1CAC" w:rsidR="00073DBD" w:rsidRPr="001F0D2A" w:rsidRDefault="00E25307" w:rsidP="00B228D2">
      <w:pPr>
        <w:jc w:val="both"/>
        <w:rPr>
          <w:rFonts w:asciiTheme="minorHAnsi" w:hAnsiTheme="minorHAnsi" w:cstheme="minorHAnsi"/>
          <w:sz w:val="24"/>
          <w:szCs w:val="24"/>
        </w:rPr>
      </w:pPr>
      <w:r w:rsidRPr="001F0D2A">
        <w:rPr>
          <w:rFonts w:asciiTheme="minorHAnsi" w:hAnsiTheme="minorHAnsi" w:cstheme="minorHAnsi"/>
          <w:sz w:val="24"/>
          <w:szCs w:val="24"/>
        </w:rPr>
        <w:t>Con trasparenza e integrità che ci appartengono interagiamo costantemente con i pazienti e le Associazioni che li rappresentano consapevoli che nessuna delle sfide che il Sistema Salute si trova ad affrontare possono essere vinte se non attraverso la collaborazione.</w:t>
      </w:r>
    </w:p>
    <w:sectPr w:rsidR="00073DBD" w:rsidRPr="001F0D2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ECFEA" w14:textId="77777777" w:rsidR="00C81320" w:rsidRDefault="00C81320" w:rsidP="0058377D">
      <w:r>
        <w:separator/>
      </w:r>
    </w:p>
  </w:endnote>
  <w:endnote w:type="continuationSeparator" w:id="0">
    <w:p w14:paraId="132BAEB6" w14:textId="77777777" w:rsidR="00C81320" w:rsidRDefault="00C81320" w:rsidP="0058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x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EF7FB" w14:textId="77777777" w:rsidR="00C81320" w:rsidRDefault="00C81320" w:rsidP="0058377D">
      <w:r>
        <w:separator/>
      </w:r>
    </w:p>
  </w:footnote>
  <w:footnote w:type="continuationSeparator" w:id="0">
    <w:p w14:paraId="7A30DCBB" w14:textId="77777777" w:rsidR="00C81320" w:rsidRDefault="00C81320" w:rsidP="00583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57469" w14:textId="77777777" w:rsidR="001F0D2A" w:rsidRDefault="001F0D2A">
    <w:pPr>
      <w:pStyle w:val="Intestazione"/>
    </w:pPr>
  </w:p>
  <w:p w14:paraId="3F1C8603" w14:textId="77777777" w:rsidR="001F0D2A" w:rsidRDefault="001F0D2A">
    <w:pPr>
      <w:pStyle w:val="Intestazione"/>
    </w:pPr>
  </w:p>
  <w:p w14:paraId="7B789DEF" w14:textId="77777777" w:rsidR="001F0D2A" w:rsidRDefault="001F0D2A">
    <w:pPr>
      <w:pStyle w:val="Intestazione"/>
    </w:pPr>
  </w:p>
  <w:p w14:paraId="69E18CCF" w14:textId="444DE5E0" w:rsidR="00892CDB" w:rsidRDefault="00892CDB">
    <w:pPr>
      <w:pStyle w:val="Intestazione"/>
    </w:pPr>
    <w:r w:rsidRPr="002C63B2">
      <w:rPr>
        <w:noProof/>
        <w:color w:val="830051"/>
        <w:szCs w:val="36"/>
        <w:lang w:eastAsia="en-GB"/>
      </w:rPr>
      <w:drawing>
        <wp:anchor distT="0" distB="0" distL="114300" distR="114300" simplePos="0" relativeHeight="251659264" behindDoc="1" locked="0" layoutInCell="1" allowOverlap="1" wp14:anchorId="300C1DA0" wp14:editId="06AF48CB">
          <wp:simplePos x="0" y="0"/>
          <wp:positionH relativeFrom="margin">
            <wp:posOffset>5010150</wp:posOffset>
          </wp:positionH>
          <wp:positionV relativeFrom="topMargin">
            <wp:posOffset>328295</wp:posOffset>
          </wp:positionV>
          <wp:extent cx="1600200" cy="387350"/>
          <wp:effectExtent l="0" t="0" r="0" b="0"/>
          <wp:wrapTight wrapText="bothSides">
            <wp:wrapPolygon edited="0">
              <wp:start x="18514" y="0"/>
              <wp:lineTo x="3857" y="7436"/>
              <wp:lineTo x="0" y="10623"/>
              <wp:lineTo x="0" y="20184"/>
              <wp:lineTo x="20829" y="20184"/>
              <wp:lineTo x="21086" y="20184"/>
              <wp:lineTo x="21343" y="13810"/>
              <wp:lineTo x="21343" y="9561"/>
              <wp:lineTo x="20314" y="0"/>
              <wp:lineTo x="18514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Z_RGB_H_PO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87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22E9A"/>
    <w:multiLevelType w:val="hybridMultilevel"/>
    <w:tmpl w:val="F148E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818B1"/>
    <w:multiLevelType w:val="hybridMultilevel"/>
    <w:tmpl w:val="38045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6AA282">
      <w:numFmt w:val="bullet"/>
      <w:lvlText w:val="-"/>
      <w:lvlJc w:val="left"/>
      <w:pPr>
        <w:ind w:left="1815" w:hanging="735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B4C"/>
    <w:rsid w:val="00022ED4"/>
    <w:rsid w:val="00073DBD"/>
    <w:rsid w:val="00076E02"/>
    <w:rsid w:val="000F5412"/>
    <w:rsid w:val="00100720"/>
    <w:rsid w:val="00106280"/>
    <w:rsid w:val="00136038"/>
    <w:rsid w:val="001D4B92"/>
    <w:rsid w:val="001F0D2A"/>
    <w:rsid w:val="0026040C"/>
    <w:rsid w:val="002A1207"/>
    <w:rsid w:val="002F43FA"/>
    <w:rsid w:val="00401547"/>
    <w:rsid w:val="00444D6B"/>
    <w:rsid w:val="00463EDF"/>
    <w:rsid w:val="004E785C"/>
    <w:rsid w:val="0058377D"/>
    <w:rsid w:val="00593DBB"/>
    <w:rsid w:val="005C2D2D"/>
    <w:rsid w:val="005C39EB"/>
    <w:rsid w:val="00610BF3"/>
    <w:rsid w:val="006836C9"/>
    <w:rsid w:val="006D23E1"/>
    <w:rsid w:val="006F2142"/>
    <w:rsid w:val="00707EE5"/>
    <w:rsid w:val="00714FA7"/>
    <w:rsid w:val="00734E1F"/>
    <w:rsid w:val="00753B4C"/>
    <w:rsid w:val="00771784"/>
    <w:rsid w:val="007964DC"/>
    <w:rsid w:val="00831009"/>
    <w:rsid w:val="00847A59"/>
    <w:rsid w:val="00884B2F"/>
    <w:rsid w:val="00892CDB"/>
    <w:rsid w:val="00893A60"/>
    <w:rsid w:val="009915C1"/>
    <w:rsid w:val="00A3346C"/>
    <w:rsid w:val="00A77E13"/>
    <w:rsid w:val="00AC19E7"/>
    <w:rsid w:val="00B20482"/>
    <w:rsid w:val="00B228D2"/>
    <w:rsid w:val="00C435B7"/>
    <w:rsid w:val="00C81320"/>
    <w:rsid w:val="00C946E8"/>
    <w:rsid w:val="00D04664"/>
    <w:rsid w:val="00D6437D"/>
    <w:rsid w:val="00DD38AF"/>
    <w:rsid w:val="00E25307"/>
    <w:rsid w:val="00E44052"/>
    <w:rsid w:val="00E51FC0"/>
    <w:rsid w:val="00EC7ACE"/>
    <w:rsid w:val="00F438EF"/>
    <w:rsid w:val="00F703A3"/>
    <w:rsid w:val="00FA3C03"/>
    <w:rsid w:val="00FB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9529A"/>
  <w15:chartTrackingRefBased/>
  <w15:docId w15:val="{1C1FE74D-7201-4AB6-84B1-5200A92F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040C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40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40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26040C"/>
    <w:rPr>
      <w:color w:val="0563C1"/>
      <w:u w:val="single"/>
    </w:rPr>
  </w:style>
  <w:style w:type="character" w:styleId="Rimandocommento">
    <w:name w:val="annotation reference"/>
    <w:basedOn w:val="Carpredefinitoparagrafo"/>
    <w:semiHidden/>
    <w:unhideWhenUsed/>
    <w:rsid w:val="00E25307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E25307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E25307"/>
    <w:rPr>
      <w:sz w:val="20"/>
      <w:szCs w:val="20"/>
    </w:rPr>
  </w:style>
  <w:style w:type="paragraph" w:customStyle="1" w:styleId="Boldbodytext">
    <w:name w:val="Bold body text"/>
    <w:basedOn w:val="Normale"/>
    <w:rsid w:val="00073DBD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b/>
      <w:bCs/>
      <w:color w:val="000000"/>
      <w:lang w:val="en-GB"/>
    </w:rPr>
  </w:style>
  <w:style w:type="paragraph" w:styleId="NormaleWeb">
    <w:name w:val="Normal (Web)"/>
    <w:basedOn w:val="Normale"/>
    <w:uiPriority w:val="99"/>
    <w:semiHidden/>
    <w:unhideWhenUsed/>
    <w:rsid w:val="00EC7A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837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377D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5837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377D"/>
    <w:rPr>
      <w:rFonts w:ascii="Calibri" w:hAnsi="Calibri" w:cs="Calibri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435B7"/>
    <w:pPr>
      <w:spacing w:after="0"/>
    </w:pPr>
    <w:rPr>
      <w:rFonts w:ascii="Calibri" w:hAnsi="Calibri" w:cs="Calibr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435B7"/>
    <w:rPr>
      <w:rFonts w:ascii="Calibri" w:hAnsi="Calibri" w:cs="Calibri"/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C435B7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FA3C03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rsid w:val="00FB525A"/>
    <w:pPr>
      <w:autoSpaceDE w:val="0"/>
      <w:autoSpaceDN w:val="0"/>
      <w:adjustRightInd w:val="0"/>
      <w:spacing w:after="0" w:line="240" w:lineRule="auto"/>
    </w:pPr>
    <w:rPr>
      <w:rFonts w:ascii="HelveticaNeueLT Std Lt" w:hAnsi="HelveticaNeueLT Std Lt" w:cs="HelveticaNeueLT Std L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B525A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FB525A"/>
    <w:rPr>
      <w:rFonts w:cs="HelveticaNeueLT Std Lt"/>
      <w:color w:val="000000"/>
      <w:sz w:val="21"/>
      <w:szCs w:val="21"/>
    </w:rPr>
  </w:style>
  <w:style w:type="paragraph" w:customStyle="1" w:styleId="Pa0">
    <w:name w:val="Pa0"/>
    <w:basedOn w:val="Default"/>
    <w:next w:val="Default"/>
    <w:uiPriority w:val="99"/>
    <w:rsid w:val="00FB525A"/>
    <w:pPr>
      <w:spacing w:line="241" w:lineRule="atLeast"/>
    </w:pPr>
    <w:rPr>
      <w:rFonts w:ascii="Lexia" w:hAnsi="Lexia" w:cstheme="minorBidi"/>
      <w:color w:val="auto"/>
    </w:rPr>
  </w:style>
  <w:style w:type="character" w:customStyle="1" w:styleId="A3">
    <w:name w:val="A3"/>
    <w:uiPriority w:val="99"/>
    <w:rsid w:val="00FB525A"/>
    <w:rPr>
      <w:rFonts w:cs="Lexia"/>
      <w:b/>
      <w:bCs/>
      <w:color w:val="000000"/>
      <w:sz w:val="36"/>
      <w:szCs w:val="36"/>
    </w:rPr>
  </w:style>
  <w:style w:type="character" w:customStyle="1" w:styleId="A5">
    <w:name w:val="A5"/>
    <w:uiPriority w:val="99"/>
    <w:rsid w:val="00106280"/>
    <w:rPr>
      <w:rFonts w:cs="Lexia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5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Macchi, Andrea</dc:creator>
  <cp:keywords/>
  <dc:description/>
  <cp:lastModifiedBy>Paolo Cabra - Intermedia</cp:lastModifiedBy>
  <cp:revision>4</cp:revision>
  <dcterms:created xsi:type="dcterms:W3CDTF">2021-09-27T16:01:00Z</dcterms:created>
  <dcterms:modified xsi:type="dcterms:W3CDTF">2021-10-04T10:30:00Z</dcterms:modified>
</cp:coreProperties>
</file>