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5418" w14:textId="35AD5A7D" w:rsidR="002B171F" w:rsidRPr="006B24A8" w:rsidRDefault="00111390" w:rsidP="00111390">
      <w:pPr>
        <w:pBdr>
          <w:bottom w:val="single" w:sz="4" w:space="1" w:color="auto"/>
        </w:pBdr>
        <w:jc w:val="right"/>
        <w:rPr>
          <w:rFonts w:asciiTheme="minorHAnsi" w:hAnsiTheme="minorHAnsi" w:cstheme="minorHAnsi"/>
          <w:color w:val="000000" w:themeColor="text1"/>
          <w:sz w:val="36"/>
          <w:szCs w:val="36"/>
        </w:rPr>
      </w:pPr>
      <w:r w:rsidRPr="006B24A8">
        <w:rPr>
          <w:rFonts w:asciiTheme="minorHAnsi" w:hAnsiTheme="minorHAnsi" w:cstheme="minorHAnsi"/>
          <w:color w:val="000000" w:themeColor="text1"/>
          <w:sz w:val="36"/>
          <w:szCs w:val="36"/>
        </w:rPr>
        <w:t>COMUNICATO STAMPA</w:t>
      </w:r>
    </w:p>
    <w:p w14:paraId="7740CED8" w14:textId="77777777" w:rsidR="002B171F" w:rsidRPr="00111390" w:rsidRDefault="002B171F" w:rsidP="002B171F">
      <w:pPr>
        <w:jc w:val="center"/>
        <w:rPr>
          <w:rFonts w:asciiTheme="minorHAnsi" w:hAnsiTheme="minorHAnsi" w:cstheme="minorHAnsi"/>
          <w:b/>
          <w:bCs/>
          <w:color w:val="008080"/>
          <w:sz w:val="24"/>
          <w:szCs w:val="24"/>
        </w:rPr>
      </w:pPr>
    </w:p>
    <w:p w14:paraId="6BFD4D2D" w14:textId="77777777" w:rsidR="00586284" w:rsidRDefault="00586284" w:rsidP="00FB6EA1">
      <w:pPr>
        <w:jc w:val="center"/>
        <w:rPr>
          <w:rFonts w:asciiTheme="minorHAnsi" w:hAnsiTheme="minorHAnsi" w:cstheme="minorHAnsi"/>
          <w:b/>
          <w:bCs/>
          <w:sz w:val="24"/>
          <w:szCs w:val="24"/>
        </w:rPr>
      </w:pPr>
    </w:p>
    <w:p w14:paraId="2FC34958" w14:textId="0017D1BA" w:rsidR="008E6BB7" w:rsidRPr="00770B51" w:rsidRDefault="008E6BB7" w:rsidP="00FB6EA1">
      <w:pPr>
        <w:jc w:val="center"/>
        <w:rPr>
          <w:rFonts w:asciiTheme="minorHAnsi" w:hAnsiTheme="minorHAnsi" w:cstheme="minorHAnsi"/>
          <w:b/>
          <w:bCs/>
          <w:sz w:val="24"/>
          <w:szCs w:val="24"/>
        </w:rPr>
      </w:pPr>
      <w:r w:rsidRPr="00770B51">
        <w:rPr>
          <w:rFonts w:asciiTheme="minorHAnsi" w:hAnsiTheme="minorHAnsi" w:cstheme="minorHAnsi"/>
          <w:b/>
          <w:bCs/>
          <w:sz w:val="24"/>
          <w:szCs w:val="24"/>
        </w:rPr>
        <w:t>A Roma la seconda edizione dell’</w:t>
      </w:r>
      <w:proofErr w:type="spellStart"/>
      <w:r w:rsidRPr="00770B51">
        <w:rPr>
          <w:rFonts w:asciiTheme="minorHAnsi" w:hAnsiTheme="minorHAnsi" w:cstheme="minorHAnsi"/>
          <w:b/>
          <w:bCs/>
          <w:sz w:val="24"/>
          <w:szCs w:val="24"/>
        </w:rPr>
        <w:t>Health&amp;</w:t>
      </w:r>
      <w:r w:rsidR="00586284" w:rsidRPr="00770B51">
        <w:rPr>
          <w:rFonts w:asciiTheme="minorHAnsi" w:hAnsiTheme="minorHAnsi" w:cstheme="minorHAnsi"/>
          <w:b/>
          <w:bCs/>
          <w:sz w:val="24"/>
          <w:szCs w:val="24"/>
        </w:rPr>
        <w:t>BioTech</w:t>
      </w:r>
      <w:proofErr w:type="spellEnd"/>
      <w:r w:rsidR="00586284" w:rsidRPr="00770B51">
        <w:rPr>
          <w:rFonts w:asciiTheme="minorHAnsi" w:hAnsiTheme="minorHAnsi" w:cstheme="minorHAnsi"/>
          <w:b/>
          <w:bCs/>
          <w:sz w:val="24"/>
          <w:szCs w:val="24"/>
        </w:rPr>
        <w:t xml:space="preserve"> </w:t>
      </w:r>
      <w:r w:rsidR="005B7B6D" w:rsidRPr="00770B51">
        <w:rPr>
          <w:rFonts w:asciiTheme="minorHAnsi" w:hAnsiTheme="minorHAnsi" w:cstheme="minorHAnsi"/>
          <w:b/>
          <w:bCs/>
          <w:sz w:val="24"/>
          <w:szCs w:val="24"/>
        </w:rPr>
        <w:t>S</w:t>
      </w:r>
      <w:r w:rsidRPr="00770B51">
        <w:rPr>
          <w:rFonts w:asciiTheme="minorHAnsi" w:hAnsiTheme="minorHAnsi" w:cstheme="minorHAnsi"/>
          <w:b/>
          <w:bCs/>
          <w:sz w:val="24"/>
          <w:szCs w:val="24"/>
        </w:rPr>
        <w:t>ummit</w:t>
      </w:r>
      <w:r w:rsidR="00664E6D" w:rsidRPr="00770B51">
        <w:rPr>
          <w:rFonts w:asciiTheme="minorHAnsi" w:hAnsiTheme="minorHAnsi" w:cstheme="minorHAnsi"/>
          <w:b/>
          <w:bCs/>
          <w:sz w:val="28"/>
          <w:szCs w:val="28"/>
        </w:rPr>
        <w:t xml:space="preserve"> </w:t>
      </w:r>
    </w:p>
    <w:p w14:paraId="35493C5C" w14:textId="77777777" w:rsidR="00091AD6" w:rsidRPr="00770B51" w:rsidRDefault="00091AD6" w:rsidP="00EC47BB">
      <w:pPr>
        <w:pStyle w:val="Default"/>
        <w:jc w:val="center"/>
        <w:rPr>
          <w:rFonts w:asciiTheme="minorHAnsi" w:hAnsiTheme="minorHAnsi" w:cstheme="minorHAnsi"/>
          <w:b/>
          <w:bCs/>
          <w:color w:val="auto"/>
          <w:sz w:val="28"/>
          <w:szCs w:val="28"/>
        </w:rPr>
      </w:pPr>
      <w:bookmarkStart w:id="0" w:name="_Hlk70000082"/>
    </w:p>
    <w:p w14:paraId="405FA085" w14:textId="5EC81344" w:rsidR="0003760C" w:rsidRPr="00770B51" w:rsidRDefault="0003760C" w:rsidP="00EC47BB">
      <w:pPr>
        <w:pStyle w:val="Default"/>
        <w:jc w:val="center"/>
        <w:rPr>
          <w:rFonts w:asciiTheme="minorHAnsi" w:hAnsiTheme="minorHAnsi" w:cstheme="minorHAnsi"/>
          <w:b/>
          <w:bCs/>
          <w:color w:val="auto"/>
          <w:sz w:val="26"/>
          <w:szCs w:val="26"/>
        </w:rPr>
      </w:pPr>
      <w:r w:rsidRPr="00770B51">
        <w:rPr>
          <w:rFonts w:asciiTheme="minorHAnsi" w:hAnsiTheme="minorHAnsi" w:cstheme="minorHAnsi"/>
          <w:b/>
          <w:bCs/>
          <w:color w:val="auto"/>
          <w:sz w:val="26"/>
          <w:szCs w:val="26"/>
        </w:rPr>
        <w:t>SANITÀ DIGITALE: DAL PNRR 2</w:t>
      </w:r>
      <w:r w:rsidR="00586284" w:rsidRPr="00770B51">
        <w:rPr>
          <w:rFonts w:asciiTheme="minorHAnsi" w:hAnsiTheme="minorHAnsi" w:cstheme="minorHAnsi"/>
          <w:b/>
          <w:bCs/>
          <w:color w:val="auto"/>
          <w:sz w:val="26"/>
          <w:szCs w:val="26"/>
        </w:rPr>
        <w:t>,8</w:t>
      </w:r>
      <w:r w:rsidRPr="00770B51">
        <w:rPr>
          <w:rFonts w:asciiTheme="minorHAnsi" w:hAnsiTheme="minorHAnsi" w:cstheme="minorHAnsi"/>
          <w:b/>
          <w:bCs/>
          <w:color w:val="auto"/>
          <w:sz w:val="26"/>
          <w:szCs w:val="26"/>
        </w:rPr>
        <w:t xml:space="preserve"> MILIARDI </w:t>
      </w:r>
      <w:r w:rsidR="00586284" w:rsidRPr="00770B51">
        <w:rPr>
          <w:rFonts w:asciiTheme="minorHAnsi" w:hAnsiTheme="minorHAnsi" w:cstheme="minorHAnsi"/>
          <w:b/>
          <w:bCs/>
          <w:color w:val="auto"/>
          <w:sz w:val="26"/>
          <w:szCs w:val="26"/>
        </w:rPr>
        <w:t>DI EURO</w:t>
      </w:r>
      <w:r w:rsidR="002F0887" w:rsidRPr="00770B51">
        <w:rPr>
          <w:rFonts w:asciiTheme="minorHAnsi" w:hAnsiTheme="minorHAnsi" w:cstheme="minorHAnsi"/>
          <w:b/>
          <w:bCs/>
          <w:color w:val="auto"/>
          <w:sz w:val="26"/>
          <w:szCs w:val="26"/>
        </w:rPr>
        <w:t xml:space="preserve"> PER INNOVARE IL SISTEMA</w:t>
      </w:r>
      <w:r w:rsidRPr="00770B51">
        <w:rPr>
          <w:rFonts w:asciiTheme="minorHAnsi" w:hAnsiTheme="minorHAnsi" w:cstheme="minorHAnsi"/>
          <w:b/>
          <w:bCs/>
          <w:color w:val="auto"/>
          <w:sz w:val="26"/>
          <w:szCs w:val="26"/>
        </w:rPr>
        <w:t xml:space="preserve"> </w:t>
      </w:r>
    </w:p>
    <w:p w14:paraId="57C9193D" w14:textId="561ACA63" w:rsidR="0003760C" w:rsidRPr="00770B51" w:rsidRDefault="00664E6D" w:rsidP="00EC47BB">
      <w:pPr>
        <w:pStyle w:val="Default"/>
        <w:jc w:val="center"/>
        <w:rPr>
          <w:rFonts w:asciiTheme="minorHAnsi" w:hAnsiTheme="minorHAnsi" w:cstheme="minorHAnsi"/>
          <w:b/>
          <w:bCs/>
          <w:color w:val="auto"/>
          <w:sz w:val="26"/>
          <w:szCs w:val="26"/>
        </w:rPr>
      </w:pPr>
      <w:r w:rsidRPr="00770B51">
        <w:rPr>
          <w:rFonts w:asciiTheme="minorHAnsi" w:hAnsiTheme="minorHAnsi" w:cstheme="minorHAnsi"/>
          <w:b/>
          <w:bCs/>
          <w:color w:val="auto"/>
          <w:sz w:val="26"/>
          <w:szCs w:val="26"/>
        </w:rPr>
        <w:t>VANTAGGI PER I PAZIENTI DALLO SCAMBIO DI DATI TRA PUBBLICO E PRIVATO</w:t>
      </w:r>
    </w:p>
    <w:p w14:paraId="10BAF3EE" w14:textId="1834FE1E" w:rsidR="00EC47BB" w:rsidRPr="00770B51" w:rsidRDefault="00EC47BB" w:rsidP="00664E6D">
      <w:pPr>
        <w:pStyle w:val="Default"/>
        <w:rPr>
          <w:rFonts w:asciiTheme="minorHAnsi" w:hAnsiTheme="minorHAnsi" w:cstheme="minorHAnsi"/>
          <w:b/>
          <w:bCs/>
          <w:color w:val="auto"/>
          <w:sz w:val="28"/>
          <w:szCs w:val="28"/>
        </w:rPr>
      </w:pPr>
    </w:p>
    <w:p w14:paraId="1725373C" w14:textId="0D8C028B" w:rsidR="00EA6C52" w:rsidRPr="00770B51" w:rsidRDefault="00091AD6" w:rsidP="00091AD6">
      <w:pPr>
        <w:pStyle w:val="Default"/>
        <w:jc w:val="center"/>
        <w:rPr>
          <w:rFonts w:asciiTheme="minorHAnsi" w:hAnsiTheme="minorHAnsi" w:cstheme="minorHAnsi"/>
          <w:b/>
          <w:bCs/>
          <w:color w:val="auto"/>
          <w:sz w:val="28"/>
          <w:szCs w:val="28"/>
        </w:rPr>
      </w:pPr>
      <w:r w:rsidRPr="00770B51">
        <w:rPr>
          <w:rFonts w:asciiTheme="minorHAnsi" w:eastAsia="Times New Roman" w:hAnsiTheme="minorHAnsi" w:cstheme="minorHAnsi"/>
          <w:b/>
          <w:bCs/>
          <w:color w:val="auto"/>
        </w:rPr>
        <w:t>Andrea Costa, Sottosegretario alla Salute:</w:t>
      </w:r>
      <w:r w:rsidRPr="00770B51">
        <w:rPr>
          <w:rFonts w:asciiTheme="minorHAnsi" w:eastAsia="Times New Roman" w:hAnsiTheme="minorHAnsi" w:cstheme="minorHAnsi"/>
          <w:b/>
          <w:bCs/>
          <w:i/>
          <w:iCs/>
          <w:color w:val="auto"/>
        </w:rPr>
        <w:t xml:space="preserve"> “Il PNRR offre una straordinaria opportunità per un vero cambio di paradigma nella gestione del paziente attraverso l’uso delle nuove tecnologie. Ma le risorse da sole non bastano, bisogna poter contare su un sistema che consenta l’interoperabilità dei dati”</w:t>
      </w:r>
    </w:p>
    <w:p w14:paraId="00A1F899" w14:textId="77777777" w:rsidR="00091AD6" w:rsidRPr="00770B51" w:rsidRDefault="00091AD6" w:rsidP="00EC47BB">
      <w:pPr>
        <w:jc w:val="center"/>
        <w:rPr>
          <w:rFonts w:asciiTheme="minorHAnsi" w:hAnsiTheme="minorHAnsi" w:cstheme="minorHAnsi"/>
          <w:b/>
          <w:bCs/>
          <w:sz w:val="24"/>
          <w:szCs w:val="24"/>
        </w:rPr>
      </w:pPr>
    </w:p>
    <w:p w14:paraId="0C786CCE" w14:textId="70F40135" w:rsidR="00EC47BB" w:rsidRPr="00770B51" w:rsidRDefault="00091AD6" w:rsidP="00091AD6">
      <w:pPr>
        <w:jc w:val="center"/>
        <w:rPr>
          <w:rFonts w:asciiTheme="minorHAnsi" w:hAnsiTheme="minorHAnsi" w:cstheme="minorHAnsi"/>
          <w:b/>
          <w:bCs/>
          <w:sz w:val="24"/>
          <w:szCs w:val="24"/>
        </w:rPr>
      </w:pPr>
      <w:r w:rsidRPr="00770B51">
        <w:rPr>
          <w:rFonts w:asciiTheme="minorHAnsi" w:hAnsiTheme="minorHAnsi" w:cstheme="minorHAnsi"/>
          <w:b/>
          <w:bCs/>
          <w:sz w:val="24"/>
          <w:szCs w:val="24"/>
        </w:rPr>
        <w:t>Presentato</w:t>
      </w:r>
      <w:r w:rsidR="00664E6D" w:rsidRPr="00770B51">
        <w:rPr>
          <w:rFonts w:asciiTheme="minorHAnsi" w:hAnsiTheme="minorHAnsi" w:cstheme="minorHAnsi"/>
          <w:b/>
          <w:bCs/>
          <w:sz w:val="24"/>
          <w:szCs w:val="24"/>
        </w:rPr>
        <w:t xml:space="preserve"> </w:t>
      </w:r>
      <w:r w:rsidR="00F932D2" w:rsidRPr="00770B51">
        <w:rPr>
          <w:rFonts w:asciiTheme="minorHAnsi" w:hAnsiTheme="minorHAnsi" w:cstheme="minorHAnsi"/>
          <w:b/>
          <w:bCs/>
          <w:sz w:val="24"/>
          <w:szCs w:val="24"/>
        </w:rPr>
        <w:t>l’</w:t>
      </w:r>
      <w:r w:rsidR="00EA6C52" w:rsidRPr="00770B51">
        <w:rPr>
          <w:rFonts w:asciiTheme="minorHAnsi" w:hAnsiTheme="minorHAnsi" w:cstheme="minorHAnsi"/>
          <w:b/>
          <w:bCs/>
          <w:sz w:val="24"/>
          <w:szCs w:val="24"/>
        </w:rPr>
        <w:t>“</w:t>
      </w:r>
      <w:proofErr w:type="spellStart"/>
      <w:r w:rsidR="00EC47BB" w:rsidRPr="00770B51">
        <w:rPr>
          <w:rFonts w:asciiTheme="minorHAnsi" w:hAnsiTheme="minorHAnsi" w:cstheme="minorHAnsi"/>
          <w:b/>
          <w:bCs/>
          <w:sz w:val="24"/>
          <w:szCs w:val="24"/>
        </w:rPr>
        <w:t>Health&amp;BioTech</w:t>
      </w:r>
      <w:proofErr w:type="spellEnd"/>
      <w:r w:rsidR="00EC47BB" w:rsidRPr="00770B51">
        <w:rPr>
          <w:rFonts w:asciiTheme="minorHAnsi" w:hAnsiTheme="minorHAnsi" w:cstheme="minorHAnsi"/>
          <w:b/>
          <w:bCs/>
          <w:sz w:val="24"/>
          <w:szCs w:val="24"/>
        </w:rPr>
        <w:t xml:space="preserve"> Accelerator</w:t>
      </w:r>
      <w:r w:rsidRPr="00770B51">
        <w:rPr>
          <w:rFonts w:asciiTheme="minorHAnsi" w:hAnsiTheme="minorHAnsi" w:cstheme="minorHAnsi"/>
          <w:b/>
          <w:bCs/>
          <w:sz w:val="24"/>
          <w:szCs w:val="24"/>
        </w:rPr>
        <w:t xml:space="preserve"> </w:t>
      </w:r>
      <w:proofErr w:type="spellStart"/>
      <w:r w:rsidRPr="00770B51">
        <w:rPr>
          <w:rFonts w:asciiTheme="minorHAnsi" w:hAnsiTheme="minorHAnsi" w:cstheme="minorHAnsi"/>
          <w:b/>
          <w:bCs/>
          <w:sz w:val="24"/>
          <w:szCs w:val="24"/>
        </w:rPr>
        <w:t>program</w:t>
      </w:r>
      <w:proofErr w:type="spellEnd"/>
      <w:r w:rsidR="00EA6C52" w:rsidRPr="00770B51">
        <w:rPr>
          <w:rFonts w:asciiTheme="minorHAnsi" w:hAnsiTheme="minorHAnsi" w:cstheme="minorHAnsi"/>
          <w:b/>
          <w:bCs/>
          <w:sz w:val="24"/>
          <w:szCs w:val="24"/>
        </w:rPr>
        <w:t>”</w:t>
      </w:r>
      <w:r w:rsidR="00EC47BB" w:rsidRPr="00770B51">
        <w:rPr>
          <w:rFonts w:asciiTheme="minorHAnsi" w:hAnsiTheme="minorHAnsi" w:cstheme="minorHAnsi"/>
          <w:b/>
          <w:bCs/>
          <w:sz w:val="24"/>
          <w:szCs w:val="24"/>
        </w:rPr>
        <w:t>, coordinato da Deloitte Officine Innovazione con i corporate partners MSD Italia e Intesa Sanpaolo RBM Salute</w:t>
      </w:r>
      <w:r w:rsidR="00664E6D" w:rsidRPr="00770B51">
        <w:rPr>
          <w:rFonts w:asciiTheme="minorHAnsi" w:hAnsiTheme="minorHAnsi" w:cstheme="minorHAnsi"/>
          <w:b/>
          <w:bCs/>
          <w:sz w:val="24"/>
          <w:szCs w:val="24"/>
        </w:rPr>
        <w:t>,</w:t>
      </w:r>
      <w:r w:rsidRPr="00770B51">
        <w:rPr>
          <w:rFonts w:asciiTheme="minorHAnsi" w:hAnsiTheme="minorHAnsi" w:cstheme="minorHAnsi"/>
          <w:b/>
          <w:bCs/>
          <w:sz w:val="24"/>
          <w:szCs w:val="24"/>
        </w:rPr>
        <w:t xml:space="preserve"> che</w:t>
      </w:r>
      <w:r w:rsidR="00664E6D" w:rsidRPr="00770B51">
        <w:rPr>
          <w:rFonts w:asciiTheme="minorHAnsi" w:hAnsiTheme="minorHAnsi" w:cstheme="minorHAnsi"/>
          <w:b/>
          <w:bCs/>
          <w:sz w:val="24"/>
          <w:szCs w:val="24"/>
        </w:rPr>
        <w:t xml:space="preserve"> premia</w:t>
      </w:r>
      <w:r w:rsidR="00EA6C52" w:rsidRPr="00770B51">
        <w:rPr>
          <w:rFonts w:asciiTheme="minorHAnsi" w:hAnsiTheme="minorHAnsi" w:cstheme="minorHAnsi"/>
          <w:b/>
          <w:bCs/>
          <w:sz w:val="24"/>
          <w:szCs w:val="24"/>
        </w:rPr>
        <w:t xml:space="preserve"> e “accelera”</w:t>
      </w:r>
      <w:r w:rsidR="00EC47BB" w:rsidRPr="00770B51">
        <w:rPr>
          <w:rFonts w:asciiTheme="minorHAnsi" w:hAnsiTheme="minorHAnsi" w:cstheme="minorHAnsi"/>
          <w:b/>
          <w:bCs/>
          <w:sz w:val="24"/>
          <w:szCs w:val="24"/>
        </w:rPr>
        <w:t xml:space="preserve"> i progetti più innovativi d</w:t>
      </w:r>
      <w:r w:rsidRPr="00770B51">
        <w:rPr>
          <w:rFonts w:asciiTheme="minorHAnsi" w:hAnsiTheme="minorHAnsi" w:cstheme="minorHAnsi"/>
          <w:b/>
          <w:bCs/>
          <w:sz w:val="24"/>
          <w:szCs w:val="24"/>
        </w:rPr>
        <w:t xml:space="preserve">i </w:t>
      </w:r>
      <w:proofErr w:type="gramStart"/>
      <w:r w:rsidRPr="00770B51">
        <w:rPr>
          <w:rFonts w:asciiTheme="minorHAnsi" w:hAnsiTheme="minorHAnsi" w:cstheme="minorHAnsi"/>
          <w:b/>
          <w:bCs/>
          <w:sz w:val="24"/>
          <w:szCs w:val="24"/>
        </w:rPr>
        <w:t>6</w:t>
      </w:r>
      <w:proofErr w:type="gramEnd"/>
      <w:r w:rsidR="00EC47BB" w:rsidRPr="00770B51">
        <w:rPr>
          <w:rFonts w:asciiTheme="minorHAnsi" w:hAnsiTheme="minorHAnsi" w:cstheme="minorHAnsi"/>
          <w:b/>
          <w:bCs/>
          <w:sz w:val="24"/>
          <w:szCs w:val="24"/>
        </w:rPr>
        <w:t xml:space="preserve"> startup </w:t>
      </w:r>
    </w:p>
    <w:p w14:paraId="7BDA0103" w14:textId="77777777" w:rsidR="00F23993" w:rsidRPr="00770B51" w:rsidRDefault="00F23993" w:rsidP="00091AD6">
      <w:pPr>
        <w:rPr>
          <w:rFonts w:asciiTheme="minorHAnsi" w:hAnsiTheme="minorHAnsi" w:cstheme="minorHAnsi"/>
          <w:b/>
          <w:bCs/>
          <w:sz w:val="12"/>
          <w:szCs w:val="12"/>
        </w:rPr>
      </w:pPr>
    </w:p>
    <w:p w14:paraId="225413C6" w14:textId="77777777" w:rsidR="00EC47BB" w:rsidRPr="00770B51" w:rsidRDefault="00EC47BB" w:rsidP="00EC47BB">
      <w:pPr>
        <w:jc w:val="center"/>
        <w:rPr>
          <w:rFonts w:asciiTheme="minorHAnsi" w:hAnsiTheme="minorHAnsi" w:cstheme="minorHAnsi"/>
        </w:rPr>
      </w:pPr>
    </w:p>
    <w:p w14:paraId="13B6BC59" w14:textId="559B1EE9" w:rsidR="001969EE" w:rsidRPr="00770B51" w:rsidRDefault="002B171F" w:rsidP="00F23993">
      <w:pPr>
        <w:spacing w:after="40"/>
        <w:jc w:val="both"/>
        <w:rPr>
          <w:rFonts w:asciiTheme="minorHAnsi" w:hAnsiTheme="minorHAnsi" w:cstheme="minorHAnsi"/>
          <w:spacing w:val="-4"/>
        </w:rPr>
      </w:pPr>
      <w:r w:rsidRPr="00770B51">
        <w:rPr>
          <w:rFonts w:asciiTheme="minorHAnsi" w:hAnsiTheme="minorHAnsi" w:cs="Calibri (Corpo)"/>
          <w:i/>
          <w:iCs/>
          <w:spacing w:val="-4"/>
        </w:rPr>
        <w:t xml:space="preserve">Roma, </w:t>
      </w:r>
      <w:r w:rsidR="00EC47BB" w:rsidRPr="00770B51">
        <w:rPr>
          <w:rFonts w:asciiTheme="minorHAnsi" w:hAnsiTheme="minorHAnsi" w:cs="Calibri (Corpo)"/>
          <w:i/>
          <w:iCs/>
          <w:spacing w:val="-4"/>
        </w:rPr>
        <w:t>27</w:t>
      </w:r>
      <w:r w:rsidR="00AE6B03" w:rsidRPr="00770B51">
        <w:rPr>
          <w:rFonts w:asciiTheme="minorHAnsi" w:hAnsiTheme="minorHAnsi" w:cs="Calibri (Corpo)"/>
          <w:i/>
          <w:iCs/>
          <w:spacing w:val="-4"/>
        </w:rPr>
        <w:t xml:space="preserve"> luglio</w:t>
      </w:r>
      <w:r w:rsidRPr="00770B51">
        <w:rPr>
          <w:rFonts w:asciiTheme="minorHAnsi" w:hAnsiTheme="minorHAnsi" w:cs="Calibri (Corpo)"/>
          <w:i/>
          <w:iCs/>
          <w:spacing w:val="-4"/>
        </w:rPr>
        <w:t xml:space="preserve"> 202</w:t>
      </w:r>
      <w:r w:rsidR="00940031" w:rsidRPr="00770B51">
        <w:rPr>
          <w:rFonts w:asciiTheme="minorHAnsi" w:hAnsiTheme="minorHAnsi" w:cs="Calibri (Corpo)"/>
          <w:i/>
          <w:iCs/>
          <w:spacing w:val="-4"/>
        </w:rPr>
        <w:t>2</w:t>
      </w:r>
      <w:r w:rsidR="00E9763B" w:rsidRPr="00770B51">
        <w:rPr>
          <w:rFonts w:asciiTheme="minorHAnsi" w:hAnsiTheme="minorHAnsi" w:cs="Calibri (Corpo)"/>
          <w:i/>
          <w:iCs/>
          <w:spacing w:val="-4"/>
        </w:rPr>
        <w:t xml:space="preserve"> </w:t>
      </w:r>
      <w:r w:rsidR="00455913" w:rsidRPr="00770B51">
        <w:rPr>
          <w:rFonts w:asciiTheme="minorHAnsi" w:hAnsiTheme="minorHAnsi" w:cs="Calibri (Corpo)"/>
          <w:spacing w:val="-4"/>
        </w:rPr>
        <w:t>–</w:t>
      </w:r>
      <w:r w:rsidR="00B519AF" w:rsidRPr="00770B51">
        <w:rPr>
          <w:rFonts w:asciiTheme="minorHAnsi" w:hAnsiTheme="minorHAnsi" w:cs="Calibri (Corpo)"/>
          <w:spacing w:val="-4"/>
        </w:rPr>
        <w:t xml:space="preserve"> </w:t>
      </w:r>
      <w:bookmarkEnd w:id="0"/>
    </w:p>
    <w:p w14:paraId="60011946" w14:textId="77777777" w:rsidR="00586284" w:rsidRPr="00770B51" w:rsidRDefault="00824CD6" w:rsidP="008970E2">
      <w:pPr>
        <w:jc w:val="both"/>
      </w:pPr>
      <w:r w:rsidRPr="00770B51">
        <w:t>Oltre 200mila pazienti assistiti con la telemedicina</w:t>
      </w:r>
      <w:r w:rsidR="00B47CE2" w:rsidRPr="00770B51">
        <w:t>,</w:t>
      </w:r>
      <w:r w:rsidRPr="00770B51">
        <w:t xml:space="preserve"> </w:t>
      </w:r>
      <w:r w:rsidR="00B47CE2" w:rsidRPr="00770B51">
        <w:t>l</w:t>
      </w:r>
      <w:r w:rsidRPr="00770B51">
        <w:t xml:space="preserve">’85% dei medici di base che alimenteranno il Fascicolo </w:t>
      </w:r>
      <w:r w:rsidR="00B47CE2" w:rsidRPr="00770B51">
        <w:t>S</w:t>
      </w:r>
      <w:r w:rsidRPr="00770B51">
        <w:t xml:space="preserve">anitario </w:t>
      </w:r>
      <w:r w:rsidR="00B47CE2" w:rsidRPr="00770B51">
        <w:t>E</w:t>
      </w:r>
      <w:r w:rsidRPr="00770B51">
        <w:t xml:space="preserve">lettronico e </w:t>
      </w:r>
      <w:r w:rsidR="009D5735" w:rsidRPr="00770B51">
        <w:t xml:space="preserve">la </w:t>
      </w:r>
      <w:r w:rsidRPr="00770B51">
        <w:t xml:space="preserve">digitalizzazione di 280 ospedali entro </w:t>
      </w:r>
      <w:r w:rsidR="00B47CE2" w:rsidRPr="00770B51">
        <w:t>il 2025</w:t>
      </w:r>
      <w:r w:rsidRPr="00770B51">
        <w:t xml:space="preserve">. Sono </w:t>
      </w:r>
      <w:r w:rsidR="00586284" w:rsidRPr="00770B51">
        <w:t xml:space="preserve">questi </w:t>
      </w:r>
      <w:r w:rsidRPr="00770B51">
        <w:t xml:space="preserve">alcuni degli obiettivi contenuti nel PNRR </w:t>
      </w:r>
      <w:r w:rsidR="009D5735" w:rsidRPr="00770B51">
        <w:t xml:space="preserve">(Piano </w:t>
      </w:r>
      <w:r w:rsidR="00647B77" w:rsidRPr="00770B51">
        <w:t>N</w:t>
      </w:r>
      <w:r w:rsidR="009D5735" w:rsidRPr="00770B51">
        <w:t xml:space="preserve">azionale di </w:t>
      </w:r>
      <w:r w:rsidR="00647B77" w:rsidRPr="00770B51">
        <w:t>R</w:t>
      </w:r>
      <w:r w:rsidR="009D5735" w:rsidRPr="00770B51">
        <w:t xml:space="preserve">ipresa e </w:t>
      </w:r>
      <w:r w:rsidR="00647B77" w:rsidRPr="00770B51">
        <w:t>R</w:t>
      </w:r>
      <w:r w:rsidR="009D5735" w:rsidRPr="00770B51">
        <w:t xml:space="preserve">esilienza) </w:t>
      </w:r>
      <w:r w:rsidRPr="00770B51">
        <w:t>che</w:t>
      </w:r>
      <w:r w:rsidR="00B47CE2" w:rsidRPr="00770B51">
        <w:t>,</w:t>
      </w:r>
      <w:r w:rsidRPr="00770B51">
        <w:t xml:space="preserve"> per la digitalizzazione del sistema sanitario</w:t>
      </w:r>
      <w:r w:rsidR="00B47CE2" w:rsidRPr="00770B51">
        <w:t>,</w:t>
      </w:r>
      <w:r w:rsidRPr="00770B51">
        <w:t xml:space="preserve"> stanzia </w:t>
      </w:r>
      <w:r w:rsidR="009D5735" w:rsidRPr="00770B51">
        <w:t xml:space="preserve">2 miliardi e 800 milioni di euro. </w:t>
      </w:r>
      <w:r w:rsidR="00D1380C" w:rsidRPr="00770B51">
        <w:t xml:space="preserve">Dalle </w:t>
      </w:r>
      <w:proofErr w:type="spellStart"/>
      <w:r w:rsidR="00D1380C" w:rsidRPr="00770B51">
        <w:t>televisite</w:t>
      </w:r>
      <w:proofErr w:type="spellEnd"/>
      <w:r w:rsidR="00D1380C" w:rsidRPr="00770B51">
        <w:t xml:space="preserve"> alla teleassistenza domiciliare, passando per il </w:t>
      </w:r>
      <w:proofErr w:type="spellStart"/>
      <w:r w:rsidR="00D1380C" w:rsidRPr="00770B51">
        <w:t>telemonitoraggio</w:t>
      </w:r>
      <w:proofErr w:type="spellEnd"/>
      <w:r w:rsidR="00D1380C" w:rsidRPr="00770B51">
        <w:t xml:space="preserve"> attraverso sensori e apparecchi personali, la telemedicina</w:t>
      </w:r>
      <w:r w:rsidR="00E869DA" w:rsidRPr="00770B51">
        <w:t xml:space="preserve"> e</w:t>
      </w:r>
      <w:r w:rsidR="0082622F" w:rsidRPr="00770B51">
        <w:t>,</w:t>
      </w:r>
      <w:r w:rsidR="00E869DA" w:rsidRPr="00770B51">
        <w:t xml:space="preserve"> più in generale, la sanità digitale</w:t>
      </w:r>
      <w:r w:rsidR="00D1380C" w:rsidRPr="00770B51">
        <w:t xml:space="preserve"> consent</w:t>
      </w:r>
      <w:r w:rsidR="0082622F" w:rsidRPr="00770B51">
        <w:t>ono</w:t>
      </w:r>
      <w:r w:rsidR="00D1380C" w:rsidRPr="00770B51">
        <w:t xml:space="preserve"> di fornire una migliore assistenza ai pazienti, anche a distanza, grazie a dati accessibili in sicurezza.</w:t>
      </w:r>
      <w:r w:rsidR="00E869DA" w:rsidRPr="00770B51">
        <w:t xml:space="preserve"> </w:t>
      </w:r>
    </w:p>
    <w:p w14:paraId="44FAB4A1" w14:textId="77777777" w:rsidR="00586284" w:rsidRPr="00770B51" w:rsidRDefault="00586284" w:rsidP="008970E2">
      <w:pPr>
        <w:jc w:val="both"/>
      </w:pPr>
    </w:p>
    <w:p w14:paraId="7312B3C5" w14:textId="77777777" w:rsidR="00586284" w:rsidRPr="00770B51" w:rsidRDefault="008A49CF" w:rsidP="008970E2">
      <w:pPr>
        <w:jc w:val="both"/>
      </w:pPr>
      <w:r w:rsidRPr="00770B51">
        <w:t>I vantaggi? Riduzione delle liste di attesa, delle disuguaglianze nell’accesso ai servizi, delle ospedalizzazioni</w:t>
      </w:r>
      <w:r w:rsidR="006C698F" w:rsidRPr="00770B51">
        <w:t>, migliore adesione alle terapie e agli screening anticancro</w:t>
      </w:r>
      <w:r w:rsidRPr="00770B51">
        <w:t xml:space="preserve"> e risparmi con ottimizzazione dei costi. Il Fascicolo Sanitario Elettronico</w:t>
      </w:r>
      <w:r w:rsidR="002721ED" w:rsidRPr="00770B51">
        <w:t>, il pilastro della sanità digitale,</w:t>
      </w:r>
      <w:r w:rsidRPr="00770B51">
        <w:t xml:space="preserve"> è lo strumento con cui il cittadino può tracciare e consultare tutta la storia della propria vita sanitaria, condividendola in maniera sicura ed efficiente con gli operatori sanitari.</w:t>
      </w:r>
      <w:r w:rsidR="00B47CE2" w:rsidRPr="00770B51">
        <w:t xml:space="preserve"> </w:t>
      </w:r>
    </w:p>
    <w:p w14:paraId="7DD7173E" w14:textId="77777777" w:rsidR="00586284" w:rsidRPr="00770B51" w:rsidRDefault="00586284" w:rsidP="008970E2">
      <w:pPr>
        <w:jc w:val="both"/>
      </w:pPr>
    </w:p>
    <w:p w14:paraId="348A78C6" w14:textId="2F878A72" w:rsidR="00C57E2A" w:rsidRPr="00770B51" w:rsidRDefault="0082622F" w:rsidP="008970E2">
      <w:pPr>
        <w:jc w:val="both"/>
      </w:pPr>
      <w:r w:rsidRPr="00770B51">
        <w:t xml:space="preserve">La pandemia è stato un acceleratore senza precedenti </w:t>
      </w:r>
      <w:r w:rsidR="005B7B6D" w:rsidRPr="00770B51">
        <w:t xml:space="preserve">per la telemedicina </w:t>
      </w:r>
      <w:r w:rsidRPr="00770B51">
        <w:t>ma, p</w:t>
      </w:r>
      <w:r w:rsidR="00B47CE2" w:rsidRPr="00770B51">
        <w:t>er raggiungere risultati concreti per i pazienti</w:t>
      </w:r>
      <w:r w:rsidRPr="00770B51">
        <w:t>, è</w:t>
      </w:r>
      <w:r w:rsidR="00B47CE2" w:rsidRPr="00770B51">
        <w:t xml:space="preserve"> necessaria una reale interoperabilità dei dati tra pubblico e privato, come evidenziato oggi a Roma nella seconda edizione dell’“</w:t>
      </w:r>
      <w:proofErr w:type="spellStart"/>
      <w:r w:rsidR="00B47CE2" w:rsidRPr="00770B51">
        <w:t>Health&amp;BioTech</w:t>
      </w:r>
      <w:proofErr w:type="spellEnd"/>
      <w:r w:rsidR="00B47CE2" w:rsidRPr="00770B51">
        <w:t xml:space="preserve"> Summit”, promosso da MSD, Deloitte e Intesa Sanpaolo RBM Salute. </w:t>
      </w:r>
    </w:p>
    <w:p w14:paraId="0AA12461" w14:textId="77777777" w:rsidR="007D54C6" w:rsidRPr="00770B51" w:rsidRDefault="007D54C6" w:rsidP="00522A01">
      <w:pPr>
        <w:jc w:val="both"/>
        <w:rPr>
          <w:rFonts w:asciiTheme="minorHAnsi" w:hAnsiTheme="minorHAnsi" w:cstheme="minorHAnsi"/>
        </w:rPr>
      </w:pPr>
    </w:p>
    <w:p w14:paraId="1A1A3667" w14:textId="31E8F185" w:rsidR="00586284" w:rsidRPr="00770B51" w:rsidRDefault="00522A01" w:rsidP="00F23993">
      <w:pPr>
        <w:spacing w:after="40"/>
        <w:jc w:val="both"/>
        <w:rPr>
          <w:rFonts w:eastAsia="Times New Roman"/>
          <w:i/>
          <w:iCs/>
        </w:rPr>
      </w:pPr>
      <w:bookmarkStart w:id="1" w:name="_Hlk108629320"/>
      <w:r w:rsidRPr="00770B51">
        <w:rPr>
          <w:rFonts w:eastAsia="Times New Roman"/>
          <w:i/>
          <w:iCs/>
        </w:rPr>
        <w:t>“Il PNRR offre una straordinaria opportunità per un vero cambio di paradigma nella gestione del paziente attraverso l’uso delle nuove tecnologie”,</w:t>
      </w:r>
      <w:r w:rsidRPr="00770B51">
        <w:rPr>
          <w:rFonts w:eastAsia="Times New Roman"/>
        </w:rPr>
        <w:t xml:space="preserve"> </w:t>
      </w:r>
      <w:bookmarkEnd w:id="1"/>
      <w:r w:rsidRPr="00770B51">
        <w:rPr>
          <w:rFonts w:eastAsia="Times New Roman"/>
        </w:rPr>
        <w:t>afferma il Sottosegretario alla Salute Andrea Costa, intervenuto all’evento</w:t>
      </w:r>
      <w:r w:rsidR="00030C8F" w:rsidRPr="00770B51">
        <w:rPr>
          <w:rFonts w:eastAsia="Times New Roman"/>
        </w:rPr>
        <w:t>.</w:t>
      </w:r>
      <w:r w:rsidRPr="00770B51">
        <w:rPr>
          <w:rFonts w:eastAsia="Times New Roman"/>
        </w:rPr>
        <w:t xml:space="preserve"> </w:t>
      </w:r>
      <w:r w:rsidRPr="00770B51">
        <w:rPr>
          <w:rFonts w:eastAsia="Times New Roman"/>
          <w:i/>
          <w:iCs/>
        </w:rPr>
        <w:t xml:space="preserve">“Ma in questo caso, le risorse da sole non bastano, è necessario un nuovo modo di concepire l’ecosistema digitale e per fare questo </w:t>
      </w:r>
      <w:bookmarkStart w:id="2" w:name="_Hlk108629376"/>
      <w:r w:rsidRPr="00770B51">
        <w:rPr>
          <w:rFonts w:eastAsia="Times New Roman"/>
          <w:i/>
          <w:iCs/>
        </w:rPr>
        <w:t xml:space="preserve">bisogna poter contare su un sistema che consenta l’interoperabilità dei dati </w:t>
      </w:r>
      <w:bookmarkEnd w:id="2"/>
      <w:r w:rsidRPr="00770B51">
        <w:rPr>
          <w:rFonts w:eastAsia="Times New Roman"/>
          <w:i/>
          <w:iCs/>
        </w:rPr>
        <w:t>senza il quale non sarà possibile ottenere i risultati che auspichiamo”</w:t>
      </w:r>
      <w:r w:rsidR="00D00B2C" w:rsidRPr="00770B51">
        <w:rPr>
          <w:rFonts w:eastAsia="Times New Roman"/>
          <w:i/>
          <w:iCs/>
        </w:rPr>
        <w:t>.</w:t>
      </w:r>
      <w:r w:rsidRPr="00770B51">
        <w:rPr>
          <w:rFonts w:eastAsia="Times New Roman"/>
          <w:i/>
          <w:iCs/>
        </w:rPr>
        <w:t xml:space="preserve">  </w:t>
      </w:r>
    </w:p>
    <w:p w14:paraId="44C05909" w14:textId="77777777" w:rsidR="00586284" w:rsidRPr="00770B51" w:rsidRDefault="00586284" w:rsidP="00F23993">
      <w:pPr>
        <w:spacing w:after="40"/>
        <w:jc w:val="both"/>
        <w:rPr>
          <w:rFonts w:asciiTheme="minorHAnsi" w:hAnsiTheme="minorHAnsi" w:cstheme="minorHAnsi"/>
        </w:rPr>
      </w:pPr>
    </w:p>
    <w:p w14:paraId="661DFC09" w14:textId="3AFDA191" w:rsidR="00030C8F" w:rsidRPr="00770B51" w:rsidRDefault="00BE613F" w:rsidP="00F23993">
      <w:pPr>
        <w:spacing w:after="40"/>
        <w:jc w:val="both"/>
        <w:rPr>
          <w:rFonts w:eastAsia="Times New Roman"/>
          <w:i/>
          <w:iCs/>
        </w:rPr>
      </w:pPr>
      <w:r w:rsidRPr="00770B51">
        <w:rPr>
          <w:rFonts w:asciiTheme="minorHAnsi" w:hAnsiTheme="minorHAnsi" w:cstheme="minorHAnsi"/>
        </w:rPr>
        <w:t>All’“</w:t>
      </w:r>
      <w:proofErr w:type="spellStart"/>
      <w:r w:rsidRPr="00770B51">
        <w:rPr>
          <w:rFonts w:asciiTheme="minorHAnsi" w:hAnsiTheme="minorHAnsi" w:cstheme="minorHAnsi"/>
        </w:rPr>
        <w:t>Health&amp;BioTech</w:t>
      </w:r>
      <w:proofErr w:type="spellEnd"/>
      <w:r w:rsidRPr="00770B51">
        <w:rPr>
          <w:rFonts w:asciiTheme="minorHAnsi" w:hAnsiTheme="minorHAnsi" w:cstheme="minorHAnsi"/>
        </w:rPr>
        <w:t xml:space="preserve"> Summit” partecipano</w:t>
      </w:r>
      <w:r w:rsidR="00030C8F" w:rsidRPr="00770B51">
        <w:rPr>
          <w:rFonts w:asciiTheme="minorHAnsi" w:hAnsiTheme="minorHAnsi" w:cstheme="minorHAnsi"/>
        </w:rPr>
        <w:t xml:space="preserve"> rappresentanti istituzionali, del mondo accademico-scientifico e delle aziende, </w:t>
      </w:r>
      <w:r w:rsidR="00030C8F" w:rsidRPr="00770B51">
        <w:rPr>
          <w:rFonts w:asciiTheme="minorHAnsi" w:eastAsia="Times New Roman" w:hAnsiTheme="minorHAnsi" w:cstheme="minorHAnsi"/>
          <w:lang w:eastAsia="it-IT"/>
        </w:rPr>
        <w:t>per stimolare il dibattito sul valore della trasformazione digitale in sanità attraverso le opportunità derivate dal PNRR</w:t>
      </w:r>
      <w:r w:rsidR="00D978FA" w:rsidRPr="00770B51">
        <w:rPr>
          <w:rFonts w:asciiTheme="minorHAnsi" w:eastAsia="Times New Roman" w:hAnsiTheme="minorHAnsi" w:cstheme="minorHAnsi"/>
          <w:lang w:eastAsia="it-IT"/>
        </w:rPr>
        <w:t>,</w:t>
      </w:r>
      <w:r w:rsidR="00030C8F" w:rsidRPr="00770B51">
        <w:rPr>
          <w:rFonts w:asciiTheme="minorHAnsi" w:eastAsia="Times New Roman" w:hAnsiTheme="minorHAnsi" w:cstheme="minorHAnsi"/>
          <w:lang w:eastAsia="it-IT"/>
        </w:rPr>
        <w:t xml:space="preserve"> per la c</w:t>
      </w:r>
      <w:r w:rsidR="00030C8F" w:rsidRPr="00770B51">
        <w:rPr>
          <w:rFonts w:eastAsia="Times New Roman"/>
        </w:rPr>
        <w:t xml:space="preserve">reazione e l’utilizzo di algoritmi per i programmi di Real Word </w:t>
      </w:r>
      <w:proofErr w:type="spellStart"/>
      <w:r w:rsidR="00030C8F" w:rsidRPr="00770B51">
        <w:rPr>
          <w:rFonts w:eastAsia="Times New Roman"/>
        </w:rPr>
        <w:t>Evidence</w:t>
      </w:r>
      <w:proofErr w:type="spellEnd"/>
      <w:r w:rsidRPr="00770B51">
        <w:rPr>
          <w:rFonts w:eastAsia="Times New Roman"/>
        </w:rPr>
        <w:t>,</w:t>
      </w:r>
      <w:r w:rsidR="00030C8F" w:rsidRPr="00770B51">
        <w:rPr>
          <w:rFonts w:eastAsia="Times New Roman"/>
        </w:rPr>
        <w:t xml:space="preserve"> volti al miglioramento dell’aderenza terapeutica e alla personalizzazione della cura.</w:t>
      </w:r>
    </w:p>
    <w:p w14:paraId="30C9A14F" w14:textId="77777777" w:rsidR="00030C8F" w:rsidRPr="00770B51" w:rsidRDefault="00030C8F" w:rsidP="00F23993">
      <w:pPr>
        <w:spacing w:after="40"/>
        <w:jc w:val="both"/>
        <w:rPr>
          <w:rFonts w:eastAsia="Times New Roman"/>
          <w:i/>
          <w:iCs/>
        </w:rPr>
      </w:pPr>
    </w:p>
    <w:p w14:paraId="494958C9" w14:textId="5BBD514C" w:rsidR="00E844A5" w:rsidRPr="00770B51" w:rsidRDefault="00030C8F" w:rsidP="00BC424A">
      <w:pPr>
        <w:contextualSpacing/>
        <w:jc w:val="both"/>
        <w:rPr>
          <w:rFonts w:eastAsia="Times New Roman"/>
        </w:rPr>
      </w:pPr>
      <w:r w:rsidRPr="00770B51">
        <w:rPr>
          <w:rFonts w:asciiTheme="minorHAnsi" w:hAnsiTheme="minorHAnsi" w:cstheme="minorHAnsi"/>
        </w:rPr>
        <w:t>L’“</w:t>
      </w:r>
      <w:proofErr w:type="spellStart"/>
      <w:r w:rsidRPr="00770B51">
        <w:rPr>
          <w:rFonts w:asciiTheme="minorHAnsi" w:hAnsiTheme="minorHAnsi" w:cstheme="minorHAnsi"/>
        </w:rPr>
        <w:t>Health&amp;BioTech</w:t>
      </w:r>
      <w:proofErr w:type="spellEnd"/>
      <w:r w:rsidRPr="00770B51">
        <w:rPr>
          <w:rFonts w:asciiTheme="minorHAnsi" w:hAnsiTheme="minorHAnsi" w:cstheme="minorHAnsi"/>
        </w:rPr>
        <w:t xml:space="preserve"> Summit”</w:t>
      </w:r>
      <w:r w:rsidR="00522A01" w:rsidRPr="00770B51">
        <w:rPr>
          <w:rFonts w:eastAsia="Times New Roman"/>
        </w:rPr>
        <w:t xml:space="preserve"> include</w:t>
      </w:r>
      <w:r w:rsidRPr="00770B51">
        <w:rPr>
          <w:rFonts w:eastAsia="Times New Roman"/>
        </w:rPr>
        <w:t xml:space="preserve"> anche la seconda edizione del</w:t>
      </w:r>
      <w:r w:rsidR="001969EE" w:rsidRPr="00770B51">
        <w:rPr>
          <w:rFonts w:eastAsia="Times New Roman"/>
        </w:rPr>
        <w:t>l’</w:t>
      </w:r>
      <w:r w:rsidR="00522A01" w:rsidRPr="00770B51">
        <w:rPr>
          <w:rFonts w:eastAsia="Times New Roman"/>
        </w:rPr>
        <w:t>“</w:t>
      </w:r>
      <w:proofErr w:type="spellStart"/>
      <w:r w:rsidR="001969EE" w:rsidRPr="00770B51">
        <w:rPr>
          <w:rFonts w:eastAsia="Times New Roman"/>
        </w:rPr>
        <w:t>Health&amp;Biotech</w:t>
      </w:r>
      <w:proofErr w:type="spellEnd"/>
      <w:r w:rsidR="001969EE" w:rsidRPr="00770B51">
        <w:rPr>
          <w:rFonts w:eastAsia="Times New Roman"/>
        </w:rPr>
        <w:t xml:space="preserve"> Accelerator </w:t>
      </w:r>
      <w:proofErr w:type="spellStart"/>
      <w:r w:rsidR="001969EE" w:rsidRPr="00770B51">
        <w:rPr>
          <w:rFonts w:eastAsia="Times New Roman"/>
        </w:rPr>
        <w:t>program</w:t>
      </w:r>
      <w:proofErr w:type="spellEnd"/>
      <w:r w:rsidR="00522A01" w:rsidRPr="00770B51">
        <w:rPr>
          <w:rFonts w:eastAsia="Times New Roman"/>
        </w:rPr>
        <w:t>”,</w:t>
      </w:r>
      <w:r w:rsidR="001969EE" w:rsidRPr="00770B51">
        <w:rPr>
          <w:rFonts w:eastAsia="Times New Roman"/>
        </w:rPr>
        <w:t xml:space="preserve"> coordinato da Deloitte</w:t>
      </w:r>
      <w:r w:rsidR="00070445" w:rsidRPr="00770B51">
        <w:rPr>
          <w:rFonts w:eastAsia="Times New Roman"/>
        </w:rPr>
        <w:t xml:space="preserve"> Officine Innovazione, </w:t>
      </w:r>
      <w:r w:rsidR="001969EE" w:rsidRPr="00770B51">
        <w:rPr>
          <w:rFonts w:eastAsia="Times New Roman"/>
        </w:rPr>
        <w:t>che vede oggi l</w:t>
      </w:r>
      <w:r w:rsidR="00070445" w:rsidRPr="00770B51">
        <w:rPr>
          <w:rFonts w:eastAsia="Times New Roman"/>
        </w:rPr>
        <w:t>a presentazione</w:t>
      </w:r>
      <w:r w:rsidRPr="00770B51">
        <w:rPr>
          <w:rFonts w:eastAsia="Times New Roman"/>
        </w:rPr>
        <w:t xml:space="preserve"> e premiazione</w:t>
      </w:r>
      <w:r w:rsidR="001969EE" w:rsidRPr="00770B51">
        <w:rPr>
          <w:rFonts w:eastAsia="Times New Roman"/>
        </w:rPr>
        <w:t xml:space="preserve"> delle </w:t>
      </w:r>
      <w:proofErr w:type="gramStart"/>
      <w:r w:rsidR="00070445" w:rsidRPr="00770B51">
        <w:rPr>
          <w:rFonts w:eastAsia="Times New Roman"/>
        </w:rPr>
        <w:t>6</w:t>
      </w:r>
      <w:proofErr w:type="gramEnd"/>
      <w:r w:rsidR="00070445" w:rsidRPr="00770B51">
        <w:rPr>
          <w:rFonts w:eastAsia="Times New Roman"/>
        </w:rPr>
        <w:t xml:space="preserve"> </w:t>
      </w:r>
      <w:r w:rsidR="001969EE" w:rsidRPr="00770B51">
        <w:rPr>
          <w:rFonts w:eastAsia="Times New Roman"/>
        </w:rPr>
        <w:t>startup vincitrici del programma</w:t>
      </w:r>
      <w:r w:rsidRPr="00770B51">
        <w:rPr>
          <w:rFonts w:eastAsia="Times New Roman"/>
        </w:rPr>
        <w:t xml:space="preserve">. Hanno partecipato </w:t>
      </w:r>
      <w:r w:rsidR="001969EE" w:rsidRPr="00770B51">
        <w:rPr>
          <w:rFonts w:eastAsia="Times New Roman"/>
        </w:rPr>
        <w:t>oltre 1</w:t>
      </w:r>
      <w:r w:rsidR="00586284" w:rsidRPr="00770B51">
        <w:rPr>
          <w:rFonts w:eastAsia="Times New Roman"/>
        </w:rPr>
        <w:t>.</w:t>
      </w:r>
      <w:r w:rsidR="001969EE" w:rsidRPr="00770B51">
        <w:rPr>
          <w:rFonts w:eastAsia="Times New Roman"/>
        </w:rPr>
        <w:t xml:space="preserve">000 </w:t>
      </w:r>
      <w:r w:rsidR="00070445" w:rsidRPr="00770B51">
        <w:rPr>
          <w:rFonts w:eastAsia="Times New Roman"/>
        </w:rPr>
        <w:t>realtà</w:t>
      </w:r>
      <w:r w:rsidR="001969EE" w:rsidRPr="00770B51">
        <w:rPr>
          <w:rFonts w:eastAsia="Times New Roman"/>
        </w:rPr>
        <w:t xml:space="preserve"> provenienti da 40 </w:t>
      </w:r>
      <w:r w:rsidR="00522A01" w:rsidRPr="00770B51">
        <w:rPr>
          <w:rFonts w:eastAsia="Times New Roman"/>
        </w:rPr>
        <w:t>P</w:t>
      </w:r>
      <w:r w:rsidR="001969EE" w:rsidRPr="00770B51">
        <w:rPr>
          <w:rFonts w:eastAsia="Times New Roman"/>
        </w:rPr>
        <w:t>aesi</w:t>
      </w:r>
      <w:r w:rsidR="00522A01" w:rsidRPr="00770B51">
        <w:rPr>
          <w:rFonts w:eastAsia="Times New Roman"/>
        </w:rPr>
        <w:t>.</w:t>
      </w:r>
      <w:r w:rsidR="00BC424A" w:rsidRPr="00770B51">
        <w:rPr>
          <w:rFonts w:eastAsia="Times New Roman"/>
        </w:rPr>
        <w:t xml:space="preserve"> Il progetto,</w:t>
      </w:r>
      <w:r w:rsidRPr="00770B51">
        <w:rPr>
          <w:rFonts w:eastAsia="Times New Roman"/>
        </w:rPr>
        <w:t xml:space="preserve"> sostenuto da</w:t>
      </w:r>
      <w:r w:rsidR="001969EE" w:rsidRPr="00770B51">
        <w:rPr>
          <w:rFonts w:eastAsia="Times New Roman"/>
        </w:rPr>
        <w:t xml:space="preserve"> 20 partner </w:t>
      </w:r>
      <w:r w:rsidR="00070445" w:rsidRPr="00770B51">
        <w:rPr>
          <w:rFonts w:eastAsia="Times New Roman"/>
        </w:rPr>
        <w:t>tecnico/scientifici</w:t>
      </w:r>
      <w:r w:rsidR="00E844A5" w:rsidRPr="00770B51">
        <w:rPr>
          <w:rFonts w:eastAsia="Times New Roman"/>
        </w:rPr>
        <w:t>,</w:t>
      </w:r>
      <w:r w:rsidRPr="00770B51">
        <w:rPr>
          <w:rFonts w:eastAsia="Times New Roman"/>
        </w:rPr>
        <w:t xml:space="preserve"> ha</w:t>
      </w:r>
      <w:r w:rsidR="00E844A5" w:rsidRPr="00770B51">
        <w:rPr>
          <w:rFonts w:eastAsia="Times New Roman"/>
        </w:rPr>
        <w:t xml:space="preserve"> tra i suoi</w:t>
      </w:r>
      <w:r w:rsidR="001969EE" w:rsidRPr="00770B51">
        <w:rPr>
          <w:rFonts w:eastAsia="Times New Roman"/>
        </w:rPr>
        <w:t xml:space="preserve"> major partner MSD Italia e Intesa San Paolo RBM Salute</w:t>
      </w:r>
      <w:r w:rsidRPr="00770B51">
        <w:rPr>
          <w:rFonts w:eastAsia="Times New Roman"/>
        </w:rPr>
        <w:t>,</w:t>
      </w:r>
      <w:r w:rsidR="00070445" w:rsidRPr="00770B51">
        <w:rPr>
          <w:rFonts w:eastAsia="Times New Roman"/>
        </w:rPr>
        <w:t xml:space="preserve"> che già nella passata edizione avevano dato il principale contribut</w:t>
      </w:r>
      <w:r w:rsidR="00E844A5" w:rsidRPr="00770B51">
        <w:rPr>
          <w:rFonts w:eastAsia="Times New Roman"/>
        </w:rPr>
        <w:t>o</w:t>
      </w:r>
      <w:r w:rsidR="001969EE" w:rsidRPr="00770B51">
        <w:rPr>
          <w:rFonts w:eastAsia="Times New Roman"/>
        </w:rPr>
        <w:t xml:space="preserve">. </w:t>
      </w:r>
    </w:p>
    <w:p w14:paraId="08E4B338" w14:textId="77777777" w:rsidR="00AC37E6" w:rsidRPr="00770B51" w:rsidRDefault="00AC37E6" w:rsidP="00BC424A">
      <w:pPr>
        <w:contextualSpacing/>
        <w:jc w:val="both"/>
        <w:rPr>
          <w:rFonts w:eastAsia="Times New Roman"/>
        </w:rPr>
      </w:pPr>
    </w:p>
    <w:p w14:paraId="6E15B397" w14:textId="6DEE2112" w:rsidR="00AC37E6" w:rsidRPr="00770B51" w:rsidRDefault="00AC37E6" w:rsidP="00AC37E6">
      <w:pPr>
        <w:jc w:val="both"/>
        <w:rPr>
          <w:rFonts w:eastAsia="Times New Roman"/>
        </w:rPr>
      </w:pPr>
      <w:r w:rsidRPr="00770B51">
        <w:rPr>
          <w:rFonts w:eastAsia="Times New Roman"/>
        </w:rPr>
        <w:t>“</w:t>
      </w:r>
      <w:r w:rsidRPr="00770B51">
        <w:rPr>
          <w:rFonts w:eastAsia="Times New Roman"/>
          <w:i/>
          <w:iCs/>
        </w:rPr>
        <w:t>L’</w:t>
      </w:r>
      <w:proofErr w:type="spellStart"/>
      <w:r w:rsidRPr="00770B51">
        <w:rPr>
          <w:rFonts w:eastAsia="Times New Roman"/>
          <w:i/>
          <w:iCs/>
        </w:rPr>
        <w:t>Health&amp;BioTech</w:t>
      </w:r>
      <w:proofErr w:type="spellEnd"/>
      <w:r w:rsidRPr="00770B51">
        <w:rPr>
          <w:rFonts w:eastAsia="Times New Roman"/>
          <w:i/>
          <w:iCs/>
        </w:rPr>
        <w:t xml:space="preserve"> Accelerator è una eccellenza italiana che mostra come il paradigma dell’Open Innovation sia quello vincente: solo con una stretta sinergia tra tutti gli attori dell’innovazione possiamo accelerare e stare al passo sulle grandi frontiere di trasformazione che stanno coinvolgendo sempre più settori industriali, tra cui anche quello della salute e delle biotecnologie, settori prioritari per il nostro Paese</w:t>
      </w:r>
      <w:r w:rsidRPr="00770B51">
        <w:rPr>
          <w:rFonts w:eastAsia="Times New Roman"/>
        </w:rPr>
        <w:t>”</w:t>
      </w:r>
      <w:r w:rsidR="00A35ACD" w:rsidRPr="00770B51">
        <w:rPr>
          <w:rFonts w:eastAsia="Times New Roman"/>
        </w:rPr>
        <w:t>,</w:t>
      </w:r>
      <w:r w:rsidRPr="00770B51">
        <w:rPr>
          <w:rFonts w:eastAsia="Times New Roman"/>
        </w:rPr>
        <w:t xml:space="preserve"> commenta Francesco Iervolino, Partner Deloitte Officine Innovazione e Life Sciences &amp; Health Care Innovation Leader Deloitte Central </w:t>
      </w:r>
      <w:proofErr w:type="spellStart"/>
      <w:r w:rsidRPr="00770B51">
        <w:rPr>
          <w:rFonts w:eastAsia="Times New Roman"/>
        </w:rPr>
        <w:t>Mediterranean</w:t>
      </w:r>
      <w:proofErr w:type="spellEnd"/>
      <w:r w:rsidR="00A35ACD" w:rsidRPr="00770B51">
        <w:rPr>
          <w:rFonts w:eastAsia="Times New Roman"/>
        </w:rPr>
        <w:t xml:space="preserve">. </w:t>
      </w:r>
      <w:r w:rsidRPr="00770B51">
        <w:rPr>
          <w:rFonts w:eastAsia="Times New Roman"/>
        </w:rPr>
        <w:t>“</w:t>
      </w:r>
      <w:r w:rsidRPr="00770B51">
        <w:rPr>
          <w:rFonts w:eastAsia="Times New Roman"/>
          <w:i/>
          <w:iCs/>
        </w:rPr>
        <w:t>Si tratta di un contesto che sta evolvendo in fretta e che avrà impatti significativi sui prodotti e servizi che le imprese potranno offrire ai consumatori. L’abbiamo già visto negli ultimi due anni, in cui la pandemia ha spinto la digitalizzazione di prodotti e servizi sanitari, ma ha anche messo in evidenza le straordinarie potenzialità delle biotecnologie quando investimenti e collaborazione convergono</w:t>
      </w:r>
      <w:r w:rsidRPr="00770B51">
        <w:rPr>
          <w:rFonts w:eastAsia="Times New Roman"/>
        </w:rPr>
        <w:t>”.</w:t>
      </w:r>
    </w:p>
    <w:p w14:paraId="7430AD5F" w14:textId="77777777" w:rsidR="00AC37E6" w:rsidRPr="00770B51" w:rsidRDefault="00AC37E6" w:rsidP="00AC37E6">
      <w:pPr>
        <w:jc w:val="both"/>
        <w:rPr>
          <w:rFonts w:eastAsia="Times New Roman"/>
        </w:rPr>
      </w:pPr>
    </w:p>
    <w:p w14:paraId="4DAFB07B" w14:textId="0B8A918F" w:rsidR="00586284" w:rsidRPr="00770B51" w:rsidRDefault="00361E5F" w:rsidP="001A21DD">
      <w:pPr>
        <w:jc w:val="both"/>
        <w:rPr>
          <w:rFonts w:eastAsia="Times New Roman"/>
        </w:rPr>
      </w:pPr>
      <w:r w:rsidRPr="00770B51">
        <w:rPr>
          <w:rFonts w:eastAsia="Times New Roman"/>
        </w:rPr>
        <w:t>La digitalizzazione contribuisce a rendere il sistema sanitario più efficiente e sostenibile, favorendo anche il passaggio da</w:t>
      </w:r>
      <w:r w:rsidR="008976A3" w:rsidRPr="00770B51">
        <w:rPr>
          <w:rFonts w:eastAsia="Times New Roman"/>
        </w:rPr>
        <w:t>ll’attuale</w:t>
      </w:r>
      <w:r w:rsidRPr="00770B51">
        <w:rPr>
          <w:rFonts w:eastAsia="Times New Roman"/>
        </w:rPr>
        <w:t xml:space="preserve"> modello a silos a uno basato sulla connessione delle cure. </w:t>
      </w:r>
      <w:r w:rsidR="00B55796" w:rsidRPr="00770B51">
        <w:rPr>
          <w:rFonts w:eastAsia="Times New Roman"/>
        </w:rPr>
        <w:t xml:space="preserve">La telemedicina e, più in generale, l’e-health vantano una </w:t>
      </w:r>
      <w:r w:rsidR="00EA6C52" w:rsidRPr="00770B51">
        <w:rPr>
          <w:rFonts w:eastAsia="Times New Roman"/>
        </w:rPr>
        <w:t xml:space="preserve">robusta </w:t>
      </w:r>
      <w:r w:rsidR="00B55796" w:rsidRPr="00770B51">
        <w:rPr>
          <w:rFonts w:eastAsia="Times New Roman"/>
        </w:rPr>
        <w:t>cornice normativ</w:t>
      </w:r>
      <w:r w:rsidR="00EA6C52" w:rsidRPr="00770B51">
        <w:rPr>
          <w:rFonts w:eastAsia="Times New Roman"/>
        </w:rPr>
        <w:t>a</w:t>
      </w:r>
      <w:r w:rsidR="00B55796" w:rsidRPr="00770B51">
        <w:rPr>
          <w:rFonts w:eastAsia="Times New Roman"/>
        </w:rPr>
        <w:t xml:space="preserve">. </w:t>
      </w:r>
    </w:p>
    <w:p w14:paraId="5DFEE2F4" w14:textId="165599D6" w:rsidR="0063640F" w:rsidRPr="00770B51" w:rsidRDefault="0063640F" w:rsidP="001A21DD">
      <w:pPr>
        <w:jc w:val="both"/>
        <w:rPr>
          <w:rFonts w:eastAsia="Times New Roman"/>
        </w:rPr>
      </w:pPr>
    </w:p>
    <w:p w14:paraId="6CFB6F7F" w14:textId="63779597" w:rsidR="0063640F" w:rsidRPr="00770B51" w:rsidRDefault="0063640F" w:rsidP="001A21DD">
      <w:pPr>
        <w:jc w:val="both"/>
        <w:rPr>
          <w:rFonts w:eastAsia="Times New Roman"/>
        </w:rPr>
      </w:pPr>
      <w:r w:rsidRPr="00770B51">
        <w:rPr>
          <w:i/>
          <w:iCs/>
        </w:rPr>
        <w:t xml:space="preserve">“Il progresso digitale e tecnologico può avere un impatto fondamentale per l’innovazione di tutto il sistema di gestione delle persone e dei loro bisogni e percorsi di cura, e proprio con l’obiettivo di sviluppare maggiormente i prodotti e servizi digitali di Intesa Sanpaolo RBM Salute è nata </w:t>
      </w:r>
      <w:proofErr w:type="spellStart"/>
      <w:r w:rsidRPr="00770B51">
        <w:rPr>
          <w:i/>
          <w:iCs/>
        </w:rPr>
        <w:t>InSalute</w:t>
      </w:r>
      <w:proofErr w:type="spellEnd"/>
      <w:r w:rsidRPr="00770B51">
        <w:rPr>
          <w:i/>
          <w:iCs/>
        </w:rPr>
        <w:t xml:space="preserve"> Servizi, con cui vogliamo contribuire a dare un’ulteriore spinta a questa trasformazione in corso, evolvendo l’offerta e le modalità di partnership con strutture convenzionate”, </w:t>
      </w:r>
      <w:r w:rsidRPr="00770B51">
        <w:t xml:space="preserve">dichiara Massimo Tessitore, </w:t>
      </w:r>
      <w:r w:rsidR="006631FE" w:rsidRPr="00770B51">
        <w:t xml:space="preserve">AD e DG di </w:t>
      </w:r>
      <w:proofErr w:type="spellStart"/>
      <w:r w:rsidR="006631FE" w:rsidRPr="00770B51">
        <w:t>InSalute</w:t>
      </w:r>
      <w:proofErr w:type="spellEnd"/>
      <w:r w:rsidR="006631FE" w:rsidRPr="00770B51">
        <w:t xml:space="preserve"> Servizi, Gruppo Intesa Sanpaolo</w:t>
      </w:r>
      <w:r w:rsidR="00A35ACD" w:rsidRPr="00770B51">
        <w:t>.</w:t>
      </w:r>
    </w:p>
    <w:p w14:paraId="1D2388F5" w14:textId="77777777" w:rsidR="00586284" w:rsidRPr="00770B51" w:rsidRDefault="00586284" w:rsidP="001A21DD">
      <w:pPr>
        <w:jc w:val="both"/>
        <w:rPr>
          <w:rFonts w:eastAsia="Times New Roman"/>
        </w:rPr>
      </w:pPr>
    </w:p>
    <w:p w14:paraId="14916395" w14:textId="68123260" w:rsidR="00B55796" w:rsidRPr="00770B51" w:rsidRDefault="00B55796" w:rsidP="001A21DD">
      <w:pPr>
        <w:jc w:val="both"/>
        <w:rPr>
          <w:rFonts w:eastAsia="Times New Roman"/>
        </w:rPr>
      </w:pPr>
      <w:r w:rsidRPr="00770B51">
        <w:rPr>
          <w:rFonts w:eastAsia="Times New Roman"/>
        </w:rPr>
        <w:t>Negli ultimi otto anni sono stati approvati almeno dieci provvedimenti nazionali sulla sanità digitale, più di uno all’anno. Il più recente (</w:t>
      </w:r>
      <w:proofErr w:type="gramStart"/>
      <w:r w:rsidRPr="00770B51">
        <w:rPr>
          <w:rFonts w:eastAsia="Times New Roman"/>
        </w:rPr>
        <w:t>decreto legge</w:t>
      </w:r>
      <w:proofErr w:type="gramEnd"/>
      <w:r w:rsidRPr="00770B51">
        <w:rPr>
          <w:rFonts w:eastAsia="Times New Roman"/>
        </w:rPr>
        <w:t xml:space="preserve"> 27 gennaio 2022 n. 4) delinea il ruolo di </w:t>
      </w:r>
      <w:proofErr w:type="spellStart"/>
      <w:r w:rsidRPr="00770B51">
        <w:rPr>
          <w:rFonts w:eastAsia="Times New Roman"/>
        </w:rPr>
        <w:t>Agenas</w:t>
      </w:r>
      <w:proofErr w:type="spellEnd"/>
      <w:r w:rsidRPr="00770B51">
        <w:rPr>
          <w:rFonts w:eastAsia="Times New Roman"/>
        </w:rPr>
        <w:t xml:space="preserve"> (Agenzia nazionale per i servizi sanitari regionali) per la sanità digitale. La Piattaforma nazionale di telemedicina, la cui gestione è affidata</w:t>
      </w:r>
      <w:r w:rsidR="00EA6C52" w:rsidRPr="00770B51">
        <w:rPr>
          <w:rFonts w:eastAsia="Times New Roman"/>
        </w:rPr>
        <w:t xml:space="preserve"> proprio</w:t>
      </w:r>
      <w:r w:rsidRPr="00770B51">
        <w:rPr>
          <w:rFonts w:eastAsia="Times New Roman"/>
        </w:rPr>
        <w:t xml:space="preserve"> ad </w:t>
      </w:r>
      <w:proofErr w:type="spellStart"/>
      <w:r w:rsidRPr="00770B51">
        <w:rPr>
          <w:rFonts w:eastAsia="Times New Roman"/>
        </w:rPr>
        <w:t>Agenas</w:t>
      </w:r>
      <w:proofErr w:type="spellEnd"/>
      <w:r w:rsidRPr="00770B51">
        <w:rPr>
          <w:rFonts w:eastAsia="Times New Roman"/>
        </w:rPr>
        <w:t xml:space="preserve">, è stata progettata con un’architettura di alto livello con caratteristiche di interoperabilità in modo da favorire, nelle sue applicazioni locali, la promozione e l’adozione su larga scala di soluzioni di telemedicina. La strategia nazionale nell’ambito del PNRR </w:t>
      </w:r>
      <w:proofErr w:type="gramStart"/>
      <w:r w:rsidRPr="00770B51">
        <w:rPr>
          <w:rFonts w:eastAsia="Times New Roman"/>
        </w:rPr>
        <w:t>mira</w:t>
      </w:r>
      <w:r w:rsidR="001A21DD" w:rsidRPr="00770B51">
        <w:rPr>
          <w:rFonts w:eastAsia="Times New Roman"/>
        </w:rPr>
        <w:t xml:space="preserve"> </w:t>
      </w:r>
      <w:r w:rsidRPr="00770B51">
        <w:rPr>
          <w:rFonts w:eastAsia="Times New Roman"/>
        </w:rPr>
        <w:t>infatti</w:t>
      </w:r>
      <w:proofErr w:type="gramEnd"/>
      <w:r w:rsidRPr="00770B51">
        <w:rPr>
          <w:rFonts w:eastAsia="Times New Roman"/>
        </w:rPr>
        <w:t xml:space="preserve"> a promuovere e finanziare lo sviluppo di una piattaforma nazionale di telemedicina e la diffusione di nuovi progetti e soluzioni all</w:t>
      </w:r>
      <w:r w:rsidR="002721ED" w:rsidRPr="00770B51">
        <w:rPr>
          <w:rFonts w:eastAsia="Times New Roman"/>
        </w:rPr>
        <w:t>’</w:t>
      </w:r>
      <w:r w:rsidRPr="00770B51">
        <w:rPr>
          <w:rFonts w:eastAsia="Times New Roman"/>
        </w:rPr>
        <w:t xml:space="preserve">interno dei sistemi sanitari regionali. </w:t>
      </w:r>
    </w:p>
    <w:p w14:paraId="6AB15597" w14:textId="77777777" w:rsidR="00586284" w:rsidRPr="00770B51" w:rsidRDefault="00586284" w:rsidP="001A21DD">
      <w:pPr>
        <w:jc w:val="both"/>
      </w:pPr>
    </w:p>
    <w:p w14:paraId="0890124B" w14:textId="5C381529" w:rsidR="001A21DD" w:rsidRPr="00770B51" w:rsidRDefault="005D104A" w:rsidP="001A21DD">
      <w:pPr>
        <w:jc w:val="both"/>
      </w:pPr>
      <w:r w:rsidRPr="00770B51">
        <w:t xml:space="preserve">Nella fase </w:t>
      </w:r>
      <w:proofErr w:type="spellStart"/>
      <w:proofErr w:type="gramStart"/>
      <w:r w:rsidRPr="00770B51">
        <w:t>pre</w:t>
      </w:r>
      <w:proofErr w:type="spellEnd"/>
      <w:r w:rsidRPr="00770B51">
        <w:t xml:space="preserve"> pandemica</w:t>
      </w:r>
      <w:proofErr w:type="gramEnd"/>
      <w:r w:rsidRPr="00770B51">
        <w:t xml:space="preserve"> gli strumenti di sanità digitale erano poco diffusi. Tra il 2014 e il 2017, secondo un’indagine dell’Istituto Superiore di Sanità, si sono rilevate circa 350 esperienze sporadiche di telemedicina e solo un cittadino su 10 utilizzava il Fascicolo Sanitario Elettronico.</w:t>
      </w:r>
      <w:r w:rsidR="00EC20D8" w:rsidRPr="00770B51">
        <w:t xml:space="preserve"> </w:t>
      </w:r>
      <w:r w:rsidR="001A21DD" w:rsidRPr="00770B51">
        <w:t>Nel 2019 il Ministero della Salute ha avviato una ricognizione sulle esperienze regionali di telemedicina. Dalla mappatura è emerso che nel 2018 erano attiv</w:t>
      </w:r>
      <w:r w:rsidRPr="00770B51">
        <w:t>i</w:t>
      </w:r>
      <w:r w:rsidR="001A21DD" w:rsidRPr="00770B51">
        <w:t xml:space="preserve"> 282 </w:t>
      </w:r>
      <w:r w:rsidR="00D978FA" w:rsidRPr="00770B51">
        <w:t>progetti</w:t>
      </w:r>
      <w:r w:rsidRPr="00770B51">
        <w:t>,</w:t>
      </w:r>
      <w:r w:rsidR="00D978FA" w:rsidRPr="00770B51">
        <w:t xml:space="preserve"> </w:t>
      </w:r>
      <w:r w:rsidR="001A21DD" w:rsidRPr="00770B51">
        <w:t xml:space="preserve">con una grande eterogeneità nella distribuzione tra le Regioni. Durante la pandemia le iniziative di telemedicina sono </w:t>
      </w:r>
      <w:r w:rsidR="002721ED" w:rsidRPr="00770B51">
        <w:t>aumentate</w:t>
      </w:r>
      <w:r w:rsidR="00EA6C52" w:rsidRPr="00770B51">
        <w:t xml:space="preserve"> in modo esponenziale</w:t>
      </w:r>
      <w:r w:rsidR="001A21DD" w:rsidRPr="00770B51">
        <w:t xml:space="preserve">. </w:t>
      </w:r>
    </w:p>
    <w:p w14:paraId="3697555D" w14:textId="77777777" w:rsidR="001A21DD" w:rsidRPr="00770B51" w:rsidRDefault="001A21DD" w:rsidP="00BC424A">
      <w:pPr>
        <w:spacing w:after="40"/>
        <w:jc w:val="both"/>
        <w:rPr>
          <w:rFonts w:eastAsia="Times New Roman"/>
        </w:rPr>
      </w:pPr>
    </w:p>
    <w:p w14:paraId="2CA9461D" w14:textId="67D8B926" w:rsidR="00070445" w:rsidRPr="00770B51" w:rsidRDefault="00BC424A" w:rsidP="00BC424A">
      <w:pPr>
        <w:spacing w:after="40"/>
        <w:jc w:val="both"/>
        <w:rPr>
          <w:rFonts w:eastAsia="Times New Roman"/>
        </w:rPr>
      </w:pPr>
      <w:r w:rsidRPr="00770B51">
        <w:rPr>
          <w:rFonts w:eastAsia="Times New Roman"/>
        </w:rPr>
        <w:t>Il settore privato nel corso degli ultimi anni ha dato</w:t>
      </w:r>
      <w:r w:rsidR="00E844A5" w:rsidRPr="00770B51">
        <w:rPr>
          <w:rFonts w:eastAsia="Times New Roman"/>
        </w:rPr>
        <w:t xml:space="preserve"> </w:t>
      </w:r>
      <w:r w:rsidRPr="00770B51">
        <w:rPr>
          <w:rFonts w:eastAsia="Times New Roman"/>
        </w:rPr>
        <w:t xml:space="preserve">dimostrazione di una </w:t>
      </w:r>
      <w:r w:rsidR="00E844A5" w:rsidRPr="00770B51">
        <w:rPr>
          <w:rFonts w:eastAsia="Times New Roman"/>
        </w:rPr>
        <w:t xml:space="preserve">straordinaria </w:t>
      </w:r>
      <w:r w:rsidRPr="00770B51">
        <w:rPr>
          <w:rFonts w:eastAsia="Times New Roman"/>
        </w:rPr>
        <w:t xml:space="preserve">prontezza di reazione alla </w:t>
      </w:r>
      <w:r w:rsidR="00E844A5" w:rsidRPr="00770B51">
        <w:rPr>
          <w:rFonts w:eastAsia="Times New Roman"/>
        </w:rPr>
        <w:t xml:space="preserve">difficile </w:t>
      </w:r>
      <w:r w:rsidRPr="00770B51">
        <w:rPr>
          <w:rFonts w:eastAsia="Times New Roman"/>
        </w:rPr>
        <w:t>situa</w:t>
      </w:r>
      <w:r w:rsidR="00E844A5" w:rsidRPr="00770B51">
        <w:rPr>
          <w:rFonts w:eastAsia="Times New Roman"/>
        </w:rPr>
        <w:t>zi</w:t>
      </w:r>
      <w:r w:rsidRPr="00770B51">
        <w:rPr>
          <w:rFonts w:eastAsia="Times New Roman"/>
        </w:rPr>
        <w:t>one pandemica</w:t>
      </w:r>
      <w:r w:rsidR="00E844A5" w:rsidRPr="00770B51">
        <w:rPr>
          <w:rFonts w:eastAsia="Times New Roman"/>
        </w:rPr>
        <w:t>,</w:t>
      </w:r>
      <w:r w:rsidRPr="00770B51">
        <w:rPr>
          <w:rFonts w:eastAsia="Times New Roman"/>
        </w:rPr>
        <w:t xml:space="preserve"> non solo attraverso la scoperta e la distribuzione su scala planetaria di farmaci e vaccini efficaci contro </w:t>
      </w:r>
      <w:r w:rsidR="00EC20D8" w:rsidRPr="00770B51">
        <w:rPr>
          <w:rFonts w:eastAsia="Times New Roman"/>
        </w:rPr>
        <w:t>il</w:t>
      </w:r>
      <w:r w:rsidRPr="00770B51">
        <w:rPr>
          <w:rFonts w:eastAsia="Times New Roman"/>
        </w:rPr>
        <w:t xml:space="preserve"> COVID-19</w:t>
      </w:r>
      <w:r w:rsidR="00E844A5" w:rsidRPr="00770B51">
        <w:rPr>
          <w:rFonts w:eastAsia="Times New Roman"/>
        </w:rPr>
        <w:t>,</w:t>
      </w:r>
      <w:r w:rsidRPr="00770B51">
        <w:rPr>
          <w:rFonts w:eastAsia="Times New Roman"/>
        </w:rPr>
        <w:t xml:space="preserve"> ma anche attraverso l’implementazione di soluzioni di telemedicina che hanno avvicinato il paziente alla cura di cui aveva bisogno.</w:t>
      </w:r>
    </w:p>
    <w:p w14:paraId="287D39B5" w14:textId="77777777" w:rsidR="00BC424A" w:rsidRPr="00770B51" w:rsidRDefault="00BC424A" w:rsidP="00BC424A">
      <w:pPr>
        <w:contextualSpacing/>
        <w:jc w:val="both"/>
        <w:rPr>
          <w:rFonts w:eastAsia="Times New Roman"/>
        </w:rPr>
      </w:pPr>
    </w:p>
    <w:p w14:paraId="44D0CD97" w14:textId="1A8EE8ED" w:rsidR="00070445" w:rsidRPr="00770B51" w:rsidRDefault="00BC424A" w:rsidP="00BC424A">
      <w:pPr>
        <w:contextualSpacing/>
        <w:jc w:val="both"/>
        <w:rPr>
          <w:rFonts w:eastAsia="Times New Roman"/>
          <w:i/>
          <w:iCs/>
        </w:rPr>
      </w:pPr>
      <w:r w:rsidRPr="00770B51">
        <w:rPr>
          <w:rFonts w:eastAsia="Times New Roman"/>
        </w:rPr>
        <w:lastRenderedPageBreak/>
        <w:t>Un</w:t>
      </w:r>
      <w:r w:rsidR="00E844A5" w:rsidRPr="00770B51">
        <w:rPr>
          <w:rFonts w:eastAsia="Times New Roman"/>
        </w:rPr>
        <w:t xml:space="preserve"> impegno che emerge anche</w:t>
      </w:r>
      <w:r w:rsidRPr="00770B51">
        <w:rPr>
          <w:rFonts w:eastAsia="Times New Roman"/>
        </w:rPr>
        <w:t xml:space="preserve"> dalle parole di Nicoletta Luppi, Presidente e Amministratore Delegato di MSD Italia</w:t>
      </w:r>
      <w:r w:rsidR="00EC20D8" w:rsidRPr="00770B51">
        <w:rPr>
          <w:rFonts w:eastAsia="Times New Roman"/>
        </w:rPr>
        <w:t>:</w:t>
      </w:r>
      <w:r w:rsidRPr="00770B51">
        <w:rPr>
          <w:rFonts w:eastAsia="Times New Roman"/>
        </w:rPr>
        <w:t xml:space="preserve"> </w:t>
      </w:r>
      <w:r w:rsidRPr="00770B51">
        <w:rPr>
          <w:rFonts w:eastAsia="Times New Roman"/>
          <w:i/>
          <w:iCs/>
        </w:rPr>
        <w:t>“Da marzo 2020, le aziende farmaceutiche hanno attivato ben 247 iniziative di telemedicina che hanno apportato importanti benefici</w:t>
      </w:r>
      <w:r w:rsidR="00E844A5" w:rsidRPr="00770B51">
        <w:rPr>
          <w:rFonts w:eastAsia="Times New Roman"/>
          <w:i/>
          <w:iCs/>
        </w:rPr>
        <w:t xml:space="preserve"> </w:t>
      </w:r>
      <w:r w:rsidRPr="00770B51">
        <w:rPr>
          <w:rFonts w:eastAsia="Times New Roman"/>
          <w:i/>
          <w:iCs/>
        </w:rPr>
        <w:t>per le persone affette da patologie croniche</w:t>
      </w:r>
      <w:r w:rsidR="00FA52A2" w:rsidRPr="00770B51">
        <w:rPr>
          <w:rFonts w:eastAsia="Times New Roman"/>
          <w:i/>
          <w:iCs/>
        </w:rPr>
        <w:t xml:space="preserve"> che</w:t>
      </w:r>
      <w:r w:rsidRPr="00770B51">
        <w:rPr>
          <w:rFonts w:eastAsia="Times New Roman"/>
          <w:i/>
          <w:iCs/>
        </w:rPr>
        <w:t xml:space="preserve"> hanno potuto continuare a seguire i propri percorsi di cura senza spostarsi dal proprio domicilio.</w:t>
      </w:r>
      <w:r w:rsidR="00E844A5" w:rsidRPr="00770B51">
        <w:rPr>
          <w:rFonts w:eastAsia="Times New Roman"/>
          <w:i/>
          <w:iCs/>
        </w:rPr>
        <w:t xml:space="preserve"> </w:t>
      </w:r>
      <w:r w:rsidRPr="00770B51">
        <w:rPr>
          <w:rFonts w:eastAsia="Times New Roman"/>
          <w:i/>
          <w:iCs/>
        </w:rPr>
        <w:t>N</w:t>
      </w:r>
      <w:r w:rsidR="00070445" w:rsidRPr="00770B51">
        <w:rPr>
          <w:rFonts w:eastAsia="Times New Roman"/>
          <w:i/>
          <w:iCs/>
        </w:rPr>
        <w:t>el corso della pandemia, in diverse Regioni italiane sono stati perfezionati algoritmi capaci di favorire l’aderenza alle terapie da parte dei pazienti</w:t>
      </w:r>
      <w:r w:rsidR="00FA52A2" w:rsidRPr="00770B51">
        <w:rPr>
          <w:rFonts w:eastAsia="Times New Roman"/>
          <w:i/>
          <w:iCs/>
        </w:rPr>
        <w:t xml:space="preserve"> e</w:t>
      </w:r>
      <w:r w:rsidR="00070445" w:rsidRPr="00770B51">
        <w:rPr>
          <w:rFonts w:eastAsia="Times New Roman"/>
          <w:i/>
          <w:iCs/>
        </w:rPr>
        <w:t xml:space="preserve"> che hanno permesso ai medici di controllare e monitorare in tempo reale lo stato di salute dei pazienti. MSD </w:t>
      </w:r>
      <w:r w:rsidRPr="00770B51">
        <w:rPr>
          <w:rFonts w:eastAsia="Times New Roman"/>
          <w:i/>
          <w:iCs/>
        </w:rPr>
        <w:t>intende</w:t>
      </w:r>
      <w:r w:rsidR="00070445" w:rsidRPr="00770B51">
        <w:rPr>
          <w:rFonts w:eastAsia="Times New Roman"/>
          <w:i/>
          <w:iCs/>
        </w:rPr>
        <w:t xml:space="preserve"> </w:t>
      </w:r>
      <w:r w:rsidR="00FA52A2" w:rsidRPr="00770B51">
        <w:rPr>
          <w:rFonts w:eastAsia="Times New Roman"/>
          <w:i/>
          <w:iCs/>
        </w:rPr>
        <w:t xml:space="preserve">continuare a </w:t>
      </w:r>
      <w:r w:rsidR="00070445" w:rsidRPr="00770B51">
        <w:rPr>
          <w:rFonts w:eastAsia="Times New Roman"/>
          <w:i/>
          <w:iCs/>
        </w:rPr>
        <w:t xml:space="preserve">supportare questi progetti al fine di superare, </w:t>
      </w:r>
      <w:r w:rsidRPr="00770B51">
        <w:rPr>
          <w:rFonts w:eastAsia="Times New Roman"/>
          <w:i/>
          <w:iCs/>
        </w:rPr>
        <w:t xml:space="preserve">proprio </w:t>
      </w:r>
      <w:r w:rsidR="00070445" w:rsidRPr="00770B51">
        <w:rPr>
          <w:rFonts w:eastAsia="Times New Roman"/>
          <w:i/>
          <w:iCs/>
        </w:rPr>
        <w:t>grazie alle tecnologie digitali, le difficoltà che la pandemia ha causato all’assistenza in presenza dei pazienti</w:t>
      </w:r>
      <w:r w:rsidR="00FA52A2" w:rsidRPr="00770B51">
        <w:rPr>
          <w:rFonts w:eastAsia="Times New Roman"/>
          <w:i/>
          <w:iCs/>
        </w:rPr>
        <w:t xml:space="preserve">, favorendo, pertanto, una ripresa </w:t>
      </w:r>
      <w:r w:rsidR="00EC20D8" w:rsidRPr="00770B51">
        <w:rPr>
          <w:rFonts w:eastAsia="Times New Roman"/>
          <w:i/>
          <w:iCs/>
        </w:rPr>
        <w:t>‘</w:t>
      </w:r>
      <w:r w:rsidR="00FA52A2" w:rsidRPr="00770B51">
        <w:rPr>
          <w:rFonts w:eastAsia="Times New Roman"/>
          <w:i/>
          <w:iCs/>
        </w:rPr>
        <w:t>accelerata</w:t>
      </w:r>
      <w:r w:rsidR="00EC20D8" w:rsidRPr="00770B51">
        <w:rPr>
          <w:rFonts w:eastAsia="Times New Roman"/>
          <w:i/>
          <w:iCs/>
        </w:rPr>
        <w:t>’</w:t>
      </w:r>
      <w:r w:rsidR="00FA52A2" w:rsidRPr="00770B51">
        <w:rPr>
          <w:rFonts w:eastAsia="Times New Roman"/>
          <w:i/>
          <w:iCs/>
        </w:rPr>
        <w:t xml:space="preserve"> anche della buona salute</w:t>
      </w:r>
      <w:r w:rsidR="00E844A5" w:rsidRPr="00770B51">
        <w:rPr>
          <w:rFonts w:eastAsia="Times New Roman"/>
          <w:i/>
          <w:iCs/>
        </w:rPr>
        <w:t>”</w:t>
      </w:r>
      <w:r w:rsidR="00D75F6E" w:rsidRPr="00770B51">
        <w:rPr>
          <w:rFonts w:eastAsia="Times New Roman"/>
          <w:i/>
          <w:iCs/>
        </w:rPr>
        <w:t>.</w:t>
      </w:r>
      <w:r w:rsidR="00070445" w:rsidRPr="00770B51">
        <w:rPr>
          <w:rFonts w:eastAsia="Times New Roman"/>
          <w:i/>
          <w:iCs/>
        </w:rPr>
        <w:t xml:space="preserve"> </w:t>
      </w:r>
    </w:p>
    <w:p w14:paraId="6A4563F5" w14:textId="77777777" w:rsidR="00070445" w:rsidRPr="00770B51" w:rsidRDefault="00070445" w:rsidP="00BC424A">
      <w:pPr>
        <w:jc w:val="both"/>
        <w:rPr>
          <w:b/>
          <w:bCs/>
        </w:rPr>
      </w:pPr>
    </w:p>
    <w:p w14:paraId="73639009" w14:textId="63278455" w:rsidR="00F23993" w:rsidRPr="00770B51" w:rsidRDefault="00F23993" w:rsidP="00BC424A">
      <w:pPr>
        <w:spacing w:after="40"/>
        <w:jc w:val="both"/>
        <w:rPr>
          <w:rFonts w:asciiTheme="minorHAnsi" w:hAnsiTheme="minorHAnsi" w:cstheme="minorHAnsi"/>
        </w:rPr>
      </w:pPr>
      <w:r w:rsidRPr="00770B51">
        <w:rPr>
          <w:rFonts w:asciiTheme="minorHAnsi" w:hAnsiTheme="minorHAnsi" w:cstheme="minorHAnsi"/>
        </w:rPr>
        <w:t xml:space="preserve">Le startup selezionate hanno già avviato i lavori sui progetti pilota che le vedranno protagoniste al fianco di MSD e degli altri corporate partner, </w:t>
      </w:r>
      <w:proofErr w:type="gramStart"/>
      <w:r w:rsidRPr="00770B51">
        <w:rPr>
          <w:rFonts w:asciiTheme="minorHAnsi" w:hAnsiTheme="minorHAnsi" w:cstheme="minorHAnsi"/>
        </w:rPr>
        <w:t>del team Deloitte</w:t>
      </w:r>
      <w:proofErr w:type="gramEnd"/>
      <w:r w:rsidRPr="00770B51">
        <w:rPr>
          <w:rFonts w:asciiTheme="minorHAnsi" w:hAnsiTheme="minorHAnsi" w:cstheme="minorHAnsi"/>
        </w:rPr>
        <w:t xml:space="preserve"> e dei partner scientifici, clinici e finanziari. Il tutto in una cornice interamente virtuale che permetterà anche alle startup internazionali una piena e continua interazione con i partner di progetto per le settimane di accelerazione.</w:t>
      </w:r>
    </w:p>
    <w:p w14:paraId="58150279" w14:textId="77777777" w:rsidR="00586284" w:rsidRPr="00770B51" w:rsidRDefault="00586284" w:rsidP="00BC424A">
      <w:pPr>
        <w:spacing w:after="40"/>
        <w:jc w:val="both"/>
        <w:rPr>
          <w:rFonts w:asciiTheme="minorHAnsi" w:hAnsiTheme="minorHAnsi" w:cstheme="minorHAnsi"/>
        </w:rPr>
      </w:pPr>
    </w:p>
    <w:p w14:paraId="3773671C" w14:textId="17E83518" w:rsidR="00586284" w:rsidRPr="00770B51" w:rsidRDefault="008025C3" w:rsidP="00BC424A">
      <w:pPr>
        <w:spacing w:after="40"/>
        <w:jc w:val="both"/>
        <w:rPr>
          <w:rFonts w:asciiTheme="minorHAnsi" w:hAnsiTheme="minorHAnsi" w:cstheme="minorHAnsi"/>
        </w:rPr>
      </w:pPr>
      <w:r w:rsidRPr="00770B51">
        <w:rPr>
          <w:rFonts w:asciiTheme="minorHAnsi" w:hAnsiTheme="minorHAnsi" w:cstheme="minorHAnsi"/>
        </w:rPr>
        <w:t xml:space="preserve">L’Acceleratore, la cui seconda edizione è partita il 14 dicembre 2021, è sostenuto da 20 partner lungo tutta la filiera della sanità e del biotech, tra cui si annoverano: MSD Italia, Intesa Sanpaolo RBM Salute, </w:t>
      </w:r>
      <w:proofErr w:type="spellStart"/>
      <w:r w:rsidRPr="00770B51">
        <w:rPr>
          <w:rFonts w:asciiTheme="minorHAnsi" w:hAnsiTheme="minorHAnsi" w:cstheme="minorHAnsi"/>
        </w:rPr>
        <w:t>TeleSerenità</w:t>
      </w:r>
      <w:proofErr w:type="spellEnd"/>
      <w:r w:rsidRPr="00770B51">
        <w:rPr>
          <w:rFonts w:asciiTheme="minorHAnsi" w:hAnsiTheme="minorHAnsi" w:cstheme="minorHAnsi"/>
        </w:rPr>
        <w:t xml:space="preserve"> e primari gruppi ospedalieri privati quali il Gruppo San Donato in qualità di Corporate Partner, Amazon Web Services (AWS)</w:t>
      </w:r>
      <w:r w:rsidR="00D75F6E" w:rsidRPr="00770B51">
        <w:rPr>
          <w:rFonts w:asciiTheme="minorHAnsi" w:hAnsiTheme="minorHAnsi" w:cstheme="minorHAnsi"/>
        </w:rPr>
        <w:t xml:space="preserve"> </w:t>
      </w:r>
      <w:r w:rsidRPr="00770B51">
        <w:rPr>
          <w:rFonts w:asciiTheme="minorHAnsi" w:hAnsiTheme="minorHAnsi" w:cstheme="minorHAnsi"/>
        </w:rPr>
        <w:t xml:space="preserve">come partner tecnologico esclusivo, IFOM, Università di Milano, Istituto Italiano di Tecnologia, Università Campus </w:t>
      </w:r>
      <w:proofErr w:type="spellStart"/>
      <w:r w:rsidRPr="00770B51">
        <w:rPr>
          <w:rFonts w:asciiTheme="minorHAnsi" w:hAnsiTheme="minorHAnsi" w:cstheme="minorHAnsi"/>
        </w:rPr>
        <w:t>Bio</w:t>
      </w:r>
      <w:proofErr w:type="spellEnd"/>
      <w:r w:rsidRPr="00770B51">
        <w:rPr>
          <w:rFonts w:asciiTheme="minorHAnsi" w:hAnsiTheme="minorHAnsi" w:cstheme="minorHAnsi"/>
        </w:rPr>
        <w:t xml:space="preserve">-Medico di Roma e l’Istituto Romagnolo per lo Studio dei Tumori Dino Amadori in qualità di Partner Scientifici, </w:t>
      </w:r>
      <w:proofErr w:type="spellStart"/>
      <w:r w:rsidRPr="00770B51">
        <w:rPr>
          <w:rFonts w:asciiTheme="minorHAnsi" w:hAnsiTheme="minorHAnsi" w:cstheme="minorHAnsi"/>
        </w:rPr>
        <w:t>Panakés</w:t>
      </w:r>
      <w:proofErr w:type="spellEnd"/>
      <w:r w:rsidRPr="00770B51">
        <w:rPr>
          <w:rFonts w:asciiTheme="minorHAnsi" w:hAnsiTheme="minorHAnsi" w:cstheme="minorHAnsi"/>
        </w:rPr>
        <w:t xml:space="preserve"> Partners, </w:t>
      </w:r>
      <w:proofErr w:type="spellStart"/>
      <w:r w:rsidRPr="00770B51">
        <w:rPr>
          <w:rFonts w:asciiTheme="minorHAnsi" w:hAnsiTheme="minorHAnsi" w:cstheme="minorHAnsi"/>
        </w:rPr>
        <w:t>Claris</w:t>
      </w:r>
      <w:proofErr w:type="spellEnd"/>
      <w:r w:rsidRPr="00770B51">
        <w:rPr>
          <w:rFonts w:asciiTheme="minorHAnsi" w:hAnsiTheme="minorHAnsi" w:cstheme="minorHAnsi"/>
        </w:rPr>
        <w:t xml:space="preserve"> Ventures, Digital </w:t>
      </w:r>
      <w:proofErr w:type="spellStart"/>
      <w:r w:rsidRPr="00770B51">
        <w:rPr>
          <w:rFonts w:asciiTheme="minorHAnsi" w:hAnsiTheme="minorHAnsi" w:cstheme="minorHAnsi"/>
        </w:rPr>
        <w:t>Magics</w:t>
      </w:r>
      <w:proofErr w:type="spellEnd"/>
      <w:r w:rsidRPr="00770B51">
        <w:rPr>
          <w:rFonts w:asciiTheme="minorHAnsi" w:hAnsiTheme="minorHAnsi" w:cstheme="minorHAnsi"/>
        </w:rPr>
        <w:t xml:space="preserve"> e </w:t>
      </w:r>
      <w:proofErr w:type="spellStart"/>
      <w:r w:rsidRPr="00770B51">
        <w:rPr>
          <w:rFonts w:asciiTheme="minorHAnsi" w:hAnsiTheme="minorHAnsi" w:cstheme="minorHAnsi"/>
        </w:rPr>
        <w:t>Italian</w:t>
      </w:r>
      <w:proofErr w:type="spellEnd"/>
      <w:r w:rsidRPr="00770B51">
        <w:rPr>
          <w:rFonts w:asciiTheme="minorHAnsi" w:hAnsiTheme="minorHAnsi" w:cstheme="minorHAnsi"/>
        </w:rPr>
        <w:t xml:space="preserve"> </w:t>
      </w:r>
      <w:proofErr w:type="spellStart"/>
      <w:r w:rsidRPr="00770B51">
        <w:rPr>
          <w:rFonts w:asciiTheme="minorHAnsi" w:hAnsiTheme="minorHAnsi" w:cstheme="minorHAnsi"/>
        </w:rPr>
        <w:t>Angels</w:t>
      </w:r>
      <w:proofErr w:type="spellEnd"/>
      <w:r w:rsidRPr="00770B51">
        <w:rPr>
          <w:rFonts w:asciiTheme="minorHAnsi" w:hAnsiTheme="minorHAnsi" w:cstheme="minorHAnsi"/>
        </w:rPr>
        <w:t xml:space="preserve"> for </w:t>
      </w:r>
      <w:proofErr w:type="spellStart"/>
      <w:r w:rsidRPr="00770B51">
        <w:rPr>
          <w:rFonts w:asciiTheme="minorHAnsi" w:hAnsiTheme="minorHAnsi" w:cstheme="minorHAnsi"/>
        </w:rPr>
        <w:t>Growth</w:t>
      </w:r>
      <w:proofErr w:type="spellEnd"/>
      <w:r w:rsidRPr="00770B51">
        <w:rPr>
          <w:rFonts w:asciiTheme="minorHAnsi" w:hAnsiTheme="minorHAnsi" w:cstheme="minorHAnsi"/>
        </w:rPr>
        <w:t xml:space="preserve"> come Investor Partner e Digital Innovation Days, Notizie.it, </w:t>
      </w:r>
      <w:proofErr w:type="spellStart"/>
      <w:r w:rsidRPr="00770B51">
        <w:rPr>
          <w:rFonts w:asciiTheme="minorHAnsi" w:hAnsiTheme="minorHAnsi" w:cstheme="minorHAnsi"/>
        </w:rPr>
        <w:t>Makinglife</w:t>
      </w:r>
      <w:proofErr w:type="spellEnd"/>
      <w:r w:rsidRPr="00770B51">
        <w:rPr>
          <w:rFonts w:asciiTheme="minorHAnsi" w:hAnsiTheme="minorHAnsi" w:cstheme="minorHAnsi"/>
        </w:rPr>
        <w:t xml:space="preserve"> e </w:t>
      </w:r>
      <w:proofErr w:type="spellStart"/>
      <w:r w:rsidRPr="00770B51">
        <w:rPr>
          <w:rFonts w:asciiTheme="minorHAnsi" w:hAnsiTheme="minorHAnsi" w:cstheme="minorHAnsi"/>
        </w:rPr>
        <w:t>InnovUp</w:t>
      </w:r>
      <w:proofErr w:type="spellEnd"/>
      <w:r w:rsidRPr="00770B51">
        <w:rPr>
          <w:rFonts w:asciiTheme="minorHAnsi" w:hAnsiTheme="minorHAnsi" w:cstheme="minorHAnsi"/>
        </w:rPr>
        <w:t xml:space="preserve"> in qualità di </w:t>
      </w:r>
      <w:proofErr w:type="spellStart"/>
      <w:r w:rsidRPr="00770B51">
        <w:rPr>
          <w:rFonts w:asciiTheme="minorHAnsi" w:hAnsiTheme="minorHAnsi" w:cstheme="minorHAnsi"/>
        </w:rPr>
        <w:t>Ecosystem</w:t>
      </w:r>
      <w:proofErr w:type="spellEnd"/>
      <w:r w:rsidRPr="00770B51">
        <w:rPr>
          <w:rFonts w:asciiTheme="minorHAnsi" w:hAnsiTheme="minorHAnsi" w:cstheme="minorHAnsi"/>
        </w:rPr>
        <w:t xml:space="preserve"> Partner.</w:t>
      </w:r>
    </w:p>
    <w:p w14:paraId="5B143366" w14:textId="77777777" w:rsidR="008025C3" w:rsidRDefault="008025C3" w:rsidP="00BC424A">
      <w:pPr>
        <w:spacing w:after="40"/>
        <w:jc w:val="both"/>
        <w:rPr>
          <w:rFonts w:asciiTheme="minorHAnsi" w:hAnsiTheme="minorHAnsi" w:cstheme="minorHAnsi"/>
        </w:rPr>
      </w:pPr>
    </w:p>
    <w:p w14:paraId="5B376DC4" w14:textId="390CB473" w:rsidR="00F23993" w:rsidRPr="008548DC" w:rsidRDefault="00F23993" w:rsidP="00BC424A">
      <w:pPr>
        <w:spacing w:after="40"/>
        <w:jc w:val="both"/>
        <w:rPr>
          <w:rFonts w:asciiTheme="minorHAnsi" w:hAnsiTheme="minorHAnsi" w:cstheme="minorHAnsi"/>
        </w:rPr>
      </w:pPr>
      <w:r w:rsidRPr="008548DC">
        <w:rPr>
          <w:rFonts w:asciiTheme="minorHAnsi" w:hAnsiTheme="minorHAnsi" w:cstheme="minorHAnsi"/>
        </w:rPr>
        <w:t xml:space="preserve">Per ulteriori informazioni: </w:t>
      </w:r>
      <w:hyperlink r:id="rId10" w:history="1">
        <w:r w:rsidRPr="008548DC">
          <w:rPr>
            <w:rStyle w:val="Collegamentoipertestuale"/>
            <w:rFonts w:asciiTheme="minorHAnsi" w:hAnsiTheme="minorHAnsi" w:cstheme="minorHAnsi"/>
            <w:color w:val="auto"/>
          </w:rPr>
          <w:t>https://healthbiotechaccelerator.io/</w:t>
        </w:r>
      </w:hyperlink>
      <w:r w:rsidRPr="008548DC">
        <w:rPr>
          <w:rFonts w:asciiTheme="minorHAnsi" w:hAnsiTheme="minorHAnsi" w:cstheme="minorHAnsi"/>
        </w:rPr>
        <w:t xml:space="preserve"> </w:t>
      </w:r>
    </w:p>
    <w:p w14:paraId="15A5B950" w14:textId="77777777" w:rsidR="00F23993" w:rsidRPr="008548DC" w:rsidRDefault="00F23993" w:rsidP="00BC424A">
      <w:pPr>
        <w:jc w:val="both"/>
        <w:rPr>
          <w:rFonts w:asciiTheme="minorHAnsi" w:hAnsiTheme="minorHAnsi" w:cstheme="minorHAnsi"/>
        </w:rPr>
      </w:pPr>
    </w:p>
    <w:p w14:paraId="4CB27A8D" w14:textId="77777777" w:rsidR="00AC37E6" w:rsidRPr="00770B51" w:rsidRDefault="00AC37E6" w:rsidP="00AC37E6">
      <w:pPr>
        <w:jc w:val="both"/>
        <w:rPr>
          <w:rFonts w:asciiTheme="minorHAnsi" w:hAnsiTheme="minorHAnsi" w:cstheme="minorHAnsi"/>
          <w:b/>
          <w:bCs/>
        </w:rPr>
      </w:pPr>
      <w:r w:rsidRPr="00770B51">
        <w:rPr>
          <w:rFonts w:asciiTheme="minorHAnsi" w:hAnsiTheme="minorHAnsi" w:cstheme="minorHAnsi"/>
          <w:b/>
          <w:bCs/>
        </w:rPr>
        <w:t>Le startup selezionate per la seconda edizione dell’</w:t>
      </w:r>
      <w:proofErr w:type="spellStart"/>
      <w:r w:rsidRPr="00770B51">
        <w:rPr>
          <w:rFonts w:asciiTheme="minorHAnsi" w:hAnsiTheme="minorHAnsi" w:cstheme="minorHAnsi"/>
          <w:b/>
          <w:bCs/>
        </w:rPr>
        <w:t>Health&amp;BioTech</w:t>
      </w:r>
      <w:proofErr w:type="spellEnd"/>
      <w:r w:rsidRPr="00770B51">
        <w:rPr>
          <w:rFonts w:asciiTheme="minorHAnsi" w:hAnsiTheme="minorHAnsi" w:cstheme="minorHAnsi"/>
          <w:b/>
          <w:bCs/>
        </w:rPr>
        <w:t xml:space="preserve"> Accelerator</w:t>
      </w:r>
    </w:p>
    <w:p w14:paraId="76143E86" w14:textId="77777777" w:rsidR="00AC37E6" w:rsidRPr="00770B51" w:rsidRDefault="00AC37E6" w:rsidP="00AC37E6">
      <w:pPr>
        <w:jc w:val="both"/>
        <w:rPr>
          <w:rFonts w:asciiTheme="minorHAnsi" w:hAnsiTheme="minorHAnsi" w:cstheme="minorHAnsi"/>
          <w:b/>
          <w:bCs/>
        </w:rPr>
      </w:pPr>
    </w:p>
    <w:p w14:paraId="01AF8994" w14:textId="77777777" w:rsidR="00AC37E6" w:rsidRPr="00770B51" w:rsidRDefault="00AC37E6" w:rsidP="00AC37E6">
      <w:pPr>
        <w:pStyle w:val="Paragrafoelenco"/>
        <w:numPr>
          <w:ilvl w:val="0"/>
          <w:numId w:val="4"/>
        </w:numPr>
        <w:shd w:val="clear" w:color="auto" w:fill="FFFFFF"/>
        <w:jc w:val="both"/>
        <w:rPr>
          <w:rFonts w:eastAsia="Times New Roman"/>
          <w:sz w:val="21"/>
          <w:szCs w:val="21"/>
          <w:lang w:eastAsia="it-IT"/>
        </w:rPr>
      </w:pPr>
      <w:proofErr w:type="spellStart"/>
      <w:r w:rsidRPr="00770B51">
        <w:rPr>
          <w:rFonts w:eastAsia="Times New Roman"/>
          <w:b/>
          <w:bCs/>
          <w:lang w:eastAsia="it-IT"/>
        </w:rPr>
        <w:t>Euleria</w:t>
      </w:r>
      <w:proofErr w:type="spellEnd"/>
      <w:r w:rsidRPr="00770B51">
        <w:rPr>
          <w:rFonts w:eastAsia="Times New Roman"/>
          <w:lang w:eastAsia="it-IT"/>
        </w:rPr>
        <w:t>: Scale-up italiana focalizzata sulla produzione di dispositivi medici e soluzioni per analizzare il movimento e rendere più misurabile, accessibile e motivante la riabilitazione e la tele riabilitazione dei pazienti. I software sviluppati sono progettati per accompagnare professionisti e pazienti in ogni passo del percorso riabilitativo, sia in clinica che a casa del paziente</w:t>
      </w:r>
    </w:p>
    <w:p w14:paraId="463D9FA6" w14:textId="42499463" w:rsidR="00AC37E6" w:rsidRPr="00770B51" w:rsidRDefault="00AC37E6" w:rsidP="00AC37E6">
      <w:pPr>
        <w:pStyle w:val="Paragrafoelenco"/>
        <w:numPr>
          <w:ilvl w:val="0"/>
          <w:numId w:val="4"/>
        </w:numPr>
        <w:shd w:val="clear" w:color="auto" w:fill="FFFFFF"/>
        <w:spacing w:before="100" w:beforeAutospacing="1" w:after="100" w:afterAutospacing="1"/>
        <w:contextualSpacing/>
        <w:jc w:val="both"/>
        <w:rPr>
          <w:rFonts w:asciiTheme="minorHAnsi" w:hAnsiTheme="minorHAnsi" w:cstheme="minorHAnsi"/>
          <w:i/>
          <w:iCs/>
        </w:rPr>
      </w:pPr>
      <w:r w:rsidRPr="00770B51">
        <w:rPr>
          <w:rFonts w:eastAsia="Times New Roman"/>
          <w:b/>
          <w:bCs/>
          <w:lang w:eastAsia="it-IT"/>
        </w:rPr>
        <w:t>Health Force</w:t>
      </w:r>
      <w:r w:rsidRPr="00770B51">
        <w:rPr>
          <w:rFonts w:eastAsia="Times New Roman"/>
          <w:lang w:eastAsia="it-IT"/>
        </w:rPr>
        <w:t>: Startup austriaca nata nel 2021 e specializzata nel campo dell’automazione attraverso intelligenza artificiale di processi gestionali in ambito ospedaliero e assicurativo</w:t>
      </w:r>
    </w:p>
    <w:p w14:paraId="45227594" w14:textId="77777777" w:rsidR="00AC37E6" w:rsidRPr="00770B51" w:rsidRDefault="00AC37E6" w:rsidP="00AC37E6">
      <w:pPr>
        <w:pStyle w:val="Paragrafoelenco"/>
        <w:numPr>
          <w:ilvl w:val="0"/>
          <w:numId w:val="4"/>
        </w:numPr>
        <w:shd w:val="clear" w:color="auto" w:fill="FFFFFF"/>
        <w:spacing w:before="100" w:beforeAutospacing="1" w:after="100" w:afterAutospacing="1"/>
        <w:contextualSpacing/>
        <w:jc w:val="both"/>
        <w:rPr>
          <w:rFonts w:eastAsia="Times New Roman"/>
          <w:sz w:val="21"/>
          <w:szCs w:val="21"/>
          <w:lang w:eastAsia="it-IT"/>
        </w:rPr>
      </w:pPr>
      <w:r w:rsidRPr="00770B51">
        <w:rPr>
          <w:rFonts w:eastAsia="Times New Roman"/>
          <w:b/>
          <w:bCs/>
          <w:lang w:eastAsia="it-IT"/>
        </w:rPr>
        <w:t xml:space="preserve">IRST </w:t>
      </w:r>
      <w:proofErr w:type="spellStart"/>
      <w:r w:rsidRPr="00770B51">
        <w:rPr>
          <w:rFonts w:eastAsia="Times New Roman"/>
          <w:b/>
          <w:bCs/>
          <w:lang w:eastAsia="it-IT"/>
        </w:rPr>
        <w:t>Nanoparticles</w:t>
      </w:r>
      <w:proofErr w:type="spellEnd"/>
      <w:r w:rsidRPr="00770B51">
        <w:rPr>
          <w:rFonts w:eastAsia="Times New Roman"/>
          <w:lang w:eastAsia="it-IT"/>
        </w:rPr>
        <w:t>: Progetto di ricerca dell’Istituto Romagnolo per lo Studio dei Tumori "Dino Amadori" (IRST), nato nel 2013, che ha sviluppato una nanoparticella a base lipidica coniugata con un farmaco chemioterapico per migliorare l'efficacia del farmaco riducendone gli effetti collaterali sistemici</w:t>
      </w:r>
    </w:p>
    <w:p w14:paraId="56058A2D" w14:textId="18A2D0F3" w:rsidR="00AC37E6" w:rsidRPr="00770B51" w:rsidRDefault="00AC37E6" w:rsidP="00AC37E6">
      <w:pPr>
        <w:pStyle w:val="Paragrafoelenco"/>
        <w:numPr>
          <w:ilvl w:val="0"/>
          <w:numId w:val="4"/>
        </w:numPr>
        <w:shd w:val="clear" w:color="auto" w:fill="FFFFFF"/>
        <w:spacing w:before="100" w:beforeAutospacing="1" w:after="100" w:afterAutospacing="1"/>
        <w:contextualSpacing/>
        <w:jc w:val="both"/>
        <w:rPr>
          <w:rFonts w:eastAsia="Times New Roman"/>
          <w:sz w:val="21"/>
          <w:szCs w:val="21"/>
          <w:lang w:eastAsia="it-IT"/>
        </w:rPr>
      </w:pPr>
      <w:proofErr w:type="spellStart"/>
      <w:r w:rsidRPr="00770B51">
        <w:rPr>
          <w:rFonts w:eastAsia="Times New Roman"/>
          <w:b/>
          <w:bCs/>
          <w:lang w:eastAsia="it-IT"/>
        </w:rPr>
        <w:t>Medicilio</w:t>
      </w:r>
      <w:proofErr w:type="spellEnd"/>
      <w:r w:rsidRPr="00770B51">
        <w:rPr>
          <w:rFonts w:eastAsia="Times New Roman"/>
          <w:lang w:eastAsia="it-IT"/>
        </w:rPr>
        <w:t xml:space="preserve">: </w:t>
      </w:r>
      <w:r w:rsidRPr="00770B51">
        <w:t>Startup italiana che permette a pazienti e strutture sanitarie di prenotare servizi di diagnostica domiciliare come esami di radiografia, cardiologia, ecografia ed esami del sangue, permettendo di prenotare in modo semplice, garantendo tempi di attesa ridotti e la stessa qualità delle strutture ospedalier</w:t>
      </w:r>
      <w:r w:rsidR="00023847" w:rsidRPr="00770B51">
        <w:t>e</w:t>
      </w:r>
      <w:r w:rsidRPr="00770B51">
        <w:t xml:space="preserve"> ma comodamente a casa propria</w:t>
      </w:r>
    </w:p>
    <w:p w14:paraId="2D92D144" w14:textId="3D6C0920" w:rsidR="00AC37E6" w:rsidRPr="00770B51" w:rsidRDefault="00AC37E6" w:rsidP="00AC37E6">
      <w:pPr>
        <w:pStyle w:val="Paragrafoelenco"/>
        <w:numPr>
          <w:ilvl w:val="0"/>
          <w:numId w:val="4"/>
        </w:numPr>
        <w:shd w:val="clear" w:color="auto" w:fill="FFFFFF"/>
        <w:spacing w:before="100" w:beforeAutospacing="1" w:after="100" w:afterAutospacing="1"/>
        <w:contextualSpacing/>
        <w:jc w:val="both"/>
        <w:rPr>
          <w:rFonts w:eastAsia="Times New Roman"/>
          <w:sz w:val="21"/>
          <w:szCs w:val="21"/>
          <w:lang w:eastAsia="it-IT"/>
        </w:rPr>
      </w:pPr>
      <w:proofErr w:type="spellStart"/>
      <w:r w:rsidRPr="00770B51">
        <w:rPr>
          <w:rFonts w:eastAsia="Times New Roman"/>
          <w:b/>
          <w:bCs/>
          <w:lang w:eastAsia="it-IT"/>
        </w:rPr>
        <w:t>Mediktor</w:t>
      </w:r>
      <w:proofErr w:type="spellEnd"/>
      <w:r w:rsidRPr="00770B51">
        <w:rPr>
          <w:rFonts w:eastAsia="Times New Roman"/>
          <w:lang w:eastAsia="it-IT"/>
        </w:rPr>
        <w:t xml:space="preserve">: Scale-up spagnola nata nel 2011 che ha sviluppato un assistente medico basato su intelligenza artificiale per il triage e la </w:t>
      </w:r>
      <w:proofErr w:type="spellStart"/>
      <w:r w:rsidRPr="00770B51">
        <w:rPr>
          <w:rFonts w:eastAsia="Times New Roman"/>
          <w:lang w:eastAsia="it-IT"/>
        </w:rPr>
        <w:t>pre</w:t>
      </w:r>
      <w:proofErr w:type="spellEnd"/>
      <w:r w:rsidRPr="00770B51">
        <w:rPr>
          <w:rFonts w:eastAsia="Times New Roman"/>
          <w:lang w:eastAsia="it-IT"/>
        </w:rPr>
        <w:t>-diagnosi. La soluzione consiste di un</w:t>
      </w:r>
      <w:r w:rsidR="00C041BF" w:rsidRPr="00770B51">
        <w:rPr>
          <w:rFonts w:eastAsia="Times New Roman"/>
          <w:lang w:eastAsia="it-IT"/>
        </w:rPr>
        <w:t xml:space="preserve">a </w:t>
      </w:r>
      <w:r w:rsidRPr="00770B51">
        <w:rPr>
          <w:rFonts w:eastAsia="Times New Roman"/>
          <w:lang w:eastAsia="it-IT"/>
        </w:rPr>
        <w:t>App che consente di guidare i pazienti, indirizzandoli verso il corretto livello di assistenza, fornendo sia ai pazienti che ai professionisti il giusto supporto decisionale in materia di salute</w:t>
      </w:r>
    </w:p>
    <w:p w14:paraId="7472ED46" w14:textId="77777777" w:rsidR="00AC37E6" w:rsidRPr="00770B51" w:rsidRDefault="00AC37E6" w:rsidP="00AC37E6">
      <w:pPr>
        <w:pStyle w:val="Paragrafoelenco"/>
        <w:numPr>
          <w:ilvl w:val="0"/>
          <w:numId w:val="4"/>
        </w:numPr>
        <w:shd w:val="clear" w:color="auto" w:fill="FFFFFF"/>
        <w:spacing w:before="100" w:beforeAutospacing="1" w:after="100" w:afterAutospacing="1"/>
        <w:contextualSpacing/>
        <w:jc w:val="both"/>
        <w:rPr>
          <w:rFonts w:eastAsia="Times New Roman"/>
          <w:sz w:val="21"/>
          <w:szCs w:val="21"/>
          <w:lang w:eastAsia="it-IT"/>
        </w:rPr>
      </w:pPr>
      <w:proofErr w:type="spellStart"/>
      <w:r w:rsidRPr="00770B51">
        <w:rPr>
          <w:rFonts w:eastAsia="Times New Roman"/>
          <w:b/>
          <w:bCs/>
          <w:lang w:eastAsia="it-IT"/>
        </w:rPr>
        <w:t>PharmaPrime</w:t>
      </w:r>
      <w:proofErr w:type="spellEnd"/>
      <w:r w:rsidRPr="00770B51">
        <w:rPr>
          <w:rFonts w:eastAsia="Times New Roman"/>
          <w:lang w:eastAsia="it-IT"/>
        </w:rPr>
        <w:t>: Startup italiana nata nel 2016, che ha progettato e sviluppato la prima piattaforma europea per la consegna a domicilio di farmaci, facilitando al tempo stesso la ricerca in campo farmaceutico e offrendo un'ampia gamma di servizi, dall'aderenza terapeutica dei pazienti alla gestione della terapia</w:t>
      </w:r>
    </w:p>
    <w:p w14:paraId="780592E2" w14:textId="77777777" w:rsidR="00AC37E6" w:rsidRPr="008548DC" w:rsidRDefault="00AC37E6" w:rsidP="00AC37E6">
      <w:pPr>
        <w:ind w:left="360"/>
        <w:rPr>
          <w:rFonts w:asciiTheme="minorHAnsi" w:hAnsiTheme="minorHAnsi" w:cstheme="minorHAnsi"/>
          <w:i/>
          <w:iCs/>
        </w:rPr>
      </w:pPr>
    </w:p>
    <w:p w14:paraId="38AFA1E6" w14:textId="77777777" w:rsidR="00586284" w:rsidRPr="00586284" w:rsidRDefault="00586284" w:rsidP="00586284">
      <w:pPr>
        <w:pBdr>
          <w:bottom w:val="single" w:sz="12" w:space="1" w:color="auto"/>
        </w:pBdr>
        <w:shd w:val="clear" w:color="auto" w:fill="FFFFFF"/>
        <w:spacing w:before="100" w:beforeAutospacing="1" w:after="100" w:afterAutospacing="1"/>
        <w:contextualSpacing/>
        <w:jc w:val="both"/>
        <w:rPr>
          <w:rFonts w:asciiTheme="minorHAnsi" w:hAnsiTheme="minorHAnsi" w:cstheme="minorHAnsi"/>
          <w:i/>
          <w:iCs/>
        </w:rPr>
      </w:pPr>
    </w:p>
    <w:p w14:paraId="26D505B4" w14:textId="60982D9E" w:rsidR="00586284" w:rsidRDefault="00586284" w:rsidP="00586284">
      <w:pPr>
        <w:shd w:val="clear" w:color="auto" w:fill="FFFFFF"/>
        <w:spacing w:before="100" w:beforeAutospacing="1" w:after="100" w:afterAutospacing="1"/>
        <w:contextualSpacing/>
        <w:jc w:val="both"/>
        <w:rPr>
          <w:rFonts w:asciiTheme="minorHAnsi" w:hAnsiTheme="minorHAnsi" w:cstheme="minorHAnsi"/>
        </w:rPr>
      </w:pPr>
    </w:p>
    <w:p w14:paraId="69E1A514" w14:textId="77777777" w:rsidR="00F95E48" w:rsidRDefault="00F95E48" w:rsidP="00F95E48">
      <w:pPr>
        <w:rPr>
          <w:rFonts w:asciiTheme="minorHAnsi" w:hAnsiTheme="minorHAnsi" w:cstheme="minorHAnsi"/>
        </w:rPr>
      </w:pPr>
      <w:r w:rsidRPr="00C27BE4">
        <w:rPr>
          <w:rFonts w:asciiTheme="minorHAnsi" w:hAnsiTheme="minorHAnsi" w:cstheme="minorHAnsi"/>
        </w:rPr>
        <w:t>Per informazioni:</w:t>
      </w:r>
      <w:r>
        <w:rPr>
          <w:rFonts w:asciiTheme="minorHAnsi" w:hAnsiTheme="minorHAnsi" w:cstheme="minorHAnsi"/>
        </w:rPr>
        <w:t xml:space="preserve"> </w:t>
      </w:r>
      <w:r>
        <w:rPr>
          <w:rFonts w:asciiTheme="minorHAnsi" w:hAnsiTheme="minorHAnsi" w:cstheme="minorHAnsi"/>
        </w:rPr>
        <w:tab/>
        <w:t>MSD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INTERMEDIA</w:t>
      </w:r>
    </w:p>
    <w:p w14:paraId="1086E156" w14:textId="77777777" w:rsidR="00F95E48" w:rsidRDefault="00F95E48" w:rsidP="00F95E48">
      <w:pPr>
        <w:ind w:left="1416" w:firstLine="708"/>
        <w:rPr>
          <w:rFonts w:asciiTheme="minorHAnsi" w:hAnsiTheme="minorHAnsi" w:cstheme="minorHAnsi"/>
        </w:rPr>
      </w:pPr>
      <w:r>
        <w:rPr>
          <w:rFonts w:asciiTheme="minorHAnsi" w:hAnsiTheme="minorHAnsi" w:cstheme="minorHAnsi"/>
        </w:rPr>
        <w:t>Goffredo Freddi</w:t>
      </w:r>
      <w:r w:rsidRPr="006B24A8">
        <w:rPr>
          <w:rFonts w:asciiTheme="minorHAnsi" w:hAnsiTheme="minorHAnsi" w:cstheme="minorHAnsi"/>
        </w:rPr>
        <w:tab/>
      </w:r>
      <w:r w:rsidRPr="006B24A8">
        <w:rPr>
          <w:rFonts w:asciiTheme="minorHAnsi" w:hAnsiTheme="minorHAnsi" w:cstheme="minorHAnsi"/>
        </w:rPr>
        <w:tab/>
      </w:r>
      <w:r w:rsidRPr="006B24A8">
        <w:rPr>
          <w:rFonts w:asciiTheme="minorHAnsi" w:hAnsiTheme="minorHAnsi" w:cstheme="minorHAnsi"/>
        </w:rPr>
        <w:tab/>
      </w:r>
      <w:r w:rsidRPr="006B24A8">
        <w:rPr>
          <w:rFonts w:asciiTheme="minorHAnsi" w:hAnsiTheme="minorHAnsi" w:cstheme="minorHAnsi"/>
        </w:rPr>
        <w:tab/>
      </w:r>
      <w:hyperlink r:id="rId11" w:history="1">
        <w:r w:rsidRPr="001D07C2">
          <w:rPr>
            <w:rStyle w:val="Collegamentoipertestuale"/>
            <w:rFonts w:asciiTheme="minorHAnsi" w:hAnsiTheme="minorHAnsi" w:cstheme="minorHAnsi"/>
          </w:rPr>
          <w:t>intermedia@intermedianews.it</w:t>
        </w:r>
      </w:hyperlink>
      <w:r>
        <w:rPr>
          <w:rFonts w:asciiTheme="minorHAnsi" w:hAnsiTheme="minorHAnsi" w:cstheme="minorHAnsi"/>
        </w:rPr>
        <w:t xml:space="preserve"> </w:t>
      </w:r>
    </w:p>
    <w:p w14:paraId="217F5764" w14:textId="77777777" w:rsidR="00F95E48" w:rsidRPr="006B24A8" w:rsidRDefault="00F95E48" w:rsidP="00F95E48">
      <w:pPr>
        <w:ind w:left="1416" w:firstLine="708"/>
        <w:rPr>
          <w:rFonts w:asciiTheme="minorHAnsi" w:hAnsiTheme="minorHAnsi" w:cstheme="minorHAnsi"/>
        </w:rPr>
      </w:pPr>
      <w:r>
        <w:rPr>
          <w:rFonts w:asciiTheme="minorHAnsi" w:hAnsiTheme="minorHAnsi" w:cstheme="minorHAnsi"/>
        </w:rPr>
        <w:t>3357507277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3351892975 - 335265394</w:t>
      </w:r>
    </w:p>
    <w:p w14:paraId="344095B3" w14:textId="77329095" w:rsidR="00586284" w:rsidRPr="00586284" w:rsidRDefault="00586284" w:rsidP="00586284">
      <w:pPr>
        <w:shd w:val="clear" w:color="auto" w:fill="FFFFFF"/>
        <w:spacing w:before="100" w:beforeAutospacing="1" w:after="100" w:afterAutospacing="1"/>
        <w:contextualSpacing/>
        <w:jc w:val="both"/>
        <w:rPr>
          <w:rFonts w:asciiTheme="minorHAnsi" w:hAnsiTheme="minorHAnsi" w:cstheme="minorHAnsi"/>
          <w:i/>
          <w:iCs/>
        </w:rPr>
      </w:pPr>
    </w:p>
    <w:sectPr w:rsidR="00586284" w:rsidRPr="00586284" w:rsidSect="00F23993">
      <w:headerReference w:type="default" r:id="rId12"/>
      <w:pgSz w:w="11906" w:h="16838"/>
      <w:pgMar w:top="1417" w:right="1134" w:bottom="95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0175" w14:textId="77777777" w:rsidR="00E84DC8" w:rsidRDefault="00E84DC8" w:rsidP="002B171F">
      <w:r>
        <w:separator/>
      </w:r>
    </w:p>
  </w:endnote>
  <w:endnote w:type="continuationSeparator" w:id="0">
    <w:p w14:paraId="7C7BC90D" w14:textId="77777777" w:rsidR="00E84DC8" w:rsidRDefault="00E84DC8" w:rsidP="002B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Corp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5E95" w14:textId="77777777" w:rsidR="00E84DC8" w:rsidRDefault="00E84DC8" w:rsidP="002B171F">
      <w:r>
        <w:separator/>
      </w:r>
    </w:p>
  </w:footnote>
  <w:footnote w:type="continuationSeparator" w:id="0">
    <w:p w14:paraId="1083CBB1" w14:textId="77777777" w:rsidR="00E84DC8" w:rsidRDefault="00E84DC8" w:rsidP="002B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5631" w14:textId="140DD133" w:rsidR="002B171F" w:rsidRDefault="002B171F">
    <w:pPr>
      <w:pStyle w:val="Intestazione"/>
    </w:pPr>
  </w:p>
  <w:p w14:paraId="270A6F49" w14:textId="2711CCE8" w:rsidR="00111390" w:rsidRDefault="00D56318" w:rsidP="006B24A8">
    <w:pPr>
      <w:pStyle w:val="Intestazione"/>
    </w:pPr>
    <w:r>
      <w:rPr>
        <w:noProof/>
      </w:rPr>
      <w:drawing>
        <wp:inline distT="0" distB="0" distL="0" distR="0" wp14:anchorId="3A630F45" wp14:editId="6014B5E8">
          <wp:extent cx="2097352" cy="709200"/>
          <wp:effectExtent l="0" t="0" r="0" b="254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97352" cy="70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D65E2"/>
    <w:multiLevelType w:val="hybridMultilevel"/>
    <w:tmpl w:val="D0468D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5575379"/>
    <w:multiLevelType w:val="hybridMultilevel"/>
    <w:tmpl w:val="1B3E7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09201D"/>
    <w:multiLevelType w:val="hybridMultilevel"/>
    <w:tmpl w:val="629EA1D6"/>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7C3C4C27"/>
    <w:multiLevelType w:val="hybridMultilevel"/>
    <w:tmpl w:val="75D00D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262498308">
    <w:abstractNumId w:val="3"/>
  </w:num>
  <w:num w:numId="2" w16cid:durableId="492919878">
    <w:abstractNumId w:val="2"/>
  </w:num>
  <w:num w:numId="3" w16cid:durableId="1913271706">
    <w:abstractNumId w:val="2"/>
  </w:num>
  <w:num w:numId="4" w16cid:durableId="83494841">
    <w:abstractNumId w:val="1"/>
  </w:num>
  <w:num w:numId="5" w16cid:durableId="179058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1F"/>
    <w:rsid w:val="00017E2D"/>
    <w:rsid w:val="00020C5D"/>
    <w:rsid w:val="00023847"/>
    <w:rsid w:val="00030C8F"/>
    <w:rsid w:val="0003760C"/>
    <w:rsid w:val="00070445"/>
    <w:rsid w:val="00091AD6"/>
    <w:rsid w:val="000B0348"/>
    <w:rsid w:val="000C6869"/>
    <w:rsid w:val="000E1B8B"/>
    <w:rsid w:val="000F50B2"/>
    <w:rsid w:val="001003E5"/>
    <w:rsid w:val="00111390"/>
    <w:rsid w:val="00154716"/>
    <w:rsid w:val="001969EE"/>
    <w:rsid w:val="001A21DD"/>
    <w:rsid w:val="001A722B"/>
    <w:rsid w:val="001C1E83"/>
    <w:rsid w:val="001C4A0F"/>
    <w:rsid w:val="001D1C1C"/>
    <w:rsid w:val="00254128"/>
    <w:rsid w:val="002721ED"/>
    <w:rsid w:val="002A0A36"/>
    <w:rsid w:val="002B171F"/>
    <w:rsid w:val="002C37B6"/>
    <w:rsid w:val="002F0887"/>
    <w:rsid w:val="002F0B42"/>
    <w:rsid w:val="00312E51"/>
    <w:rsid w:val="00346222"/>
    <w:rsid w:val="00361E5F"/>
    <w:rsid w:val="003A09D6"/>
    <w:rsid w:val="003B36DD"/>
    <w:rsid w:val="003D497D"/>
    <w:rsid w:val="00403163"/>
    <w:rsid w:val="00423AD0"/>
    <w:rsid w:val="00455913"/>
    <w:rsid w:val="004D286B"/>
    <w:rsid w:val="004E0DED"/>
    <w:rsid w:val="004F342D"/>
    <w:rsid w:val="005104A5"/>
    <w:rsid w:val="0052215D"/>
    <w:rsid w:val="00522A01"/>
    <w:rsid w:val="00543598"/>
    <w:rsid w:val="00551A25"/>
    <w:rsid w:val="0055499B"/>
    <w:rsid w:val="00586284"/>
    <w:rsid w:val="005A2C28"/>
    <w:rsid w:val="005B7B6D"/>
    <w:rsid w:val="005D104A"/>
    <w:rsid w:val="005F09D4"/>
    <w:rsid w:val="0063640F"/>
    <w:rsid w:val="00643395"/>
    <w:rsid w:val="00647B77"/>
    <w:rsid w:val="006631FE"/>
    <w:rsid w:val="00664E6D"/>
    <w:rsid w:val="006879B9"/>
    <w:rsid w:val="006B198F"/>
    <w:rsid w:val="006B24A8"/>
    <w:rsid w:val="006B2B19"/>
    <w:rsid w:val="006C698F"/>
    <w:rsid w:val="00770B51"/>
    <w:rsid w:val="007746CC"/>
    <w:rsid w:val="007D54C6"/>
    <w:rsid w:val="008025C3"/>
    <w:rsid w:val="00814169"/>
    <w:rsid w:val="00820F22"/>
    <w:rsid w:val="00824CD6"/>
    <w:rsid w:val="0082622F"/>
    <w:rsid w:val="008548DC"/>
    <w:rsid w:val="008970E2"/>
    <w:rsid w:val="008976A3"/>
    <w:rsid w:val="008A49CF"/>
    <w:rsid w:val="008E6BB7"/>
    <w:rsid w:val="0092599E"/>
    <w:rsid w:val="00940031"/>
    <w:rsid w:val="00967344"/>
    <w:rsid w:val="009919C9"/>
    <w:rsid w:val="009D5735"/>
    <w:rsid w:val="00A07D0A"/>
    <w:rsid w:val="00A35ACD"/>
    <w:rsid w:val="00A7577B"/>
    <w:rsid w:val="00A75E86"/>
    <w:rsid w:val="00AA647A"/>
    <w:rsid w:val="00AB0E99"/>
    <w:rsid w:val="00AC2C37"/>
    <w:rsid w:val="00AC37E6"/>
    <w:rsid w:val="00AC7260"/>
    <w:rsid w:val="00AE6B03"/>
    <w:rsid w:val="00AF2CA5"/>
    <w:rsid w:val="00B47CE2"/>
    <w:rsid w:val="00B519AF"/>
    <w:rsid w:val="00B55796"/>
    <w:rsid w:val="00B71CD2"/>
    <w:rsid w:val="00BA7C63"/>
    <w:rsid w:val="00BB242E"/>
    <w:rsid w:val="00BC424A"/>
    <w:rsid w:val="00BE180F"/>
    <w:rsid w:val="00BE613F"/>
    <w:rsid w:val="00C041BF"/>
    <w:rsid w:val="00C05794"/>
    <w:rsid w:val="00C27BE4"/>
    <w:rsid w:val="00C55CA3"/>
    <w:rsid w:val="00C57E2A"/>
    <w:rsid w:val="00C64507"/>
    <w:rsid w:val="00D00B2C"/>
    <w:rsid w:val="00D1380C"/>
    <w:rsid w:val="00D1772C"/>
    <w:rsid w:val="00D56318"/>
    <w:rsid w:val="00D6457E"/>
    <w:rsid w:val="00D75F6E"/>
    <w:rsid w:val="00D978FA"/>
    <w:rsid w:val="00DB2F07"/>
    <w:rsid w:val="00E1475C"/>
    <w:rsid w:val="00E562E1"/>
    <w:rsid w:val="00E67A90"/>
    <w:rsid w:val="00E844A5"/>
    <w:rsid w:val="00E84DC8"/>
    <w:rsid w:val="00E85562"/>
    <w:rsid w:val="00E869DA"/>
    <w:rsid w:val="00E9763B"/>
    <w:rsid w:val="00EA6C52"/>
    <w:rsid w:val="00EC20D8"/>
    <w:rsid w:val="00EC47BB"/>
    <w:rsid w:val="00ED60BA"/>
    <w:rsid w:val="00ED7AAF"/>
    <w:rsid w:val="00F23993"/>
    <w:rsid w:val="00F81D75"/>
    <w:rsid w:val="00F932D2"/>
    <w:rsid w:val="00F94F41"/>
    <w:rsid w:val="00F95E48"/>
    <w:rsid w:val="00FA52A2"/>
    <w:rsid w:val="00FB6EA1"/>
    <w:rsid w:val="00FD17F4"/>
    <w:rsid w:val="00FF3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9975D9"/>
  <w15:chartTrackingRefBased/>
  <w15:docId w15:val="{BD91F804-7318-410C-A383-ACC4EE94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171F"/>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171F"/>
    <w:pPr>
      <w:tabs>
        <w:tab w:val="center" w:pos="4819"/>
        <w:tab w:val="right" w:pos="9638"/>
      </w:tabs>
    </w:pPr>
  </w:style>
  <w:style w:type="character" w:customStyle="1" w:styleId="IntestazioneCarattere">
    <w:name w:val="Intestazione Carattere"/>
    <w:basedOn w:val="Carpredefinitoparagrafo"/>
    <w:link w:val="Intestazione"/>
    <w:uiPriority w:val="99"/>
    <w:rsid w:val="002B171F"/>
    <w:rPr>
      <w:rFonts w:ascii="Calibri" w:hAnsi="Calibri" w:cs="Calibri"/>
    </w:rPr>
  </w:style>
  <w:style w:type="paragraph" w:styleId="Pidipagina">
    <w:name w:val="footer"/>
    <w:basedOn w:val="Normale"/>
    <w:link w:val="PidipaginaCarattere"/>
    <w:uiPriority w:val="99"/>
    <w:unhideWhenUsed/>
    <w:rsid w:val="002B171F"/>
    <w:pPr>
      <w:tabs>
        <w:tab w:val="center" w:pos="4819"/>
        <w:tab w:val="right" w:pos="9638"/>
      </w:tabs>
    </w:pPr>
  </w:style>
  <w:style w:type="character" w:customStyle="1" w:styleId="PidipaginaCarattere">
    <w:name w:val="Piè di pagina Carattere"/>
    <w:basedOn w:val="Carpredefinitoparagrafo"/>
    <w:link w:val="Pidipagina"/>
    <w:uiPriority w:val="99"/>
    <w:rsid w:val="002B171F"/>
    <w:rPr>
      <w:rFonts w:ascii="Calibri" w:hAnsi="Calibri" w:cs="Calibri"/>
    </w:rPr>
  </w:style>
  <w:style w:type="paragraph" w:styleId="Testofumetto">
    <w:name w:val="Balloon Text"/>
    <w:basedOn w:val="Normale"/>
    <w:link w:val="TestofumettoCarattere"/>
    <w:uiPriority w:val="99"/>
    <w:semiHidden/>
    <w:unhideWhenUsed/>
    <w:rsid w:val="00A75E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5E86"/>
    <w:rPr>
      <w:rFonts w:ascii="Segoe UI" w:hAnsi="Segoe UI" w:cs="Segoe UI"/>
      <w:sz w:val="18"/>
      <w:szCs w:val="18"/>
    </w:rPr>
  </w:style>
  <w:style w:type="paragraph" w:styleId="Paragrafoelenco">
    <w:name w:val="List Paragraph"/>
    <w:basedOn w:val="Normale"/>
    <w:uiPriority w:val="34"/>
    <w:qFormat/>
    <w:rsid w:val="00E67A90"/>
    <w:pPr>
      <w:ind w:left="720"/>
    </w:pPr>
  </w:style>
  <w:style w:type="character" w:styleId="Collegamentoipertestuale">
    <w:name w:val="Hyperlink"/>
    <w:basedOn w:val="Carpredefinitoparagrafo"/>
    <w:uiPriority w:val="99"/>
    <w:unhideWhenUsed/>
    <w:rsid w:val="00F23993"/>
    <w:rPr>
      <w:color w:val="0563C1" w:themeColor="hyperlink"/>
      <w:u w:val="single"/>
    </w:rPr>
  </w:style>
  <w:style w:type="paragraph" w:customStyle="1" w:styleId="Default">
    <w:name w:val="Default"/>
    <w:rsid w:val="00EC47BB"/>
    <w:pPr>
      <w:autoSpaceDE w:val="0"/>
      <w:autoSpaceDN w:val="0"/>
      <w:adjustRightInd w:val="0"/>
      <w:spacing w:after="0" w:line="240" w:lineRule="auto"/>
    </w:pPr>
    <w:rPr>
      <w:rFonts w:ascii="Calibri Light" w:hAnsi="Calibri Light" w:cs="Calibri Light"/>
      <w:color w:val="000000"/>
      <w:sz w:val="24"/>
      <w:szCs w:val="24"/>
    </w:rPr>
  </w:style>
  <w:style w:type="character" w:styleId="Rimandocommento">
    <w:name w:val="annotation reference"/>
    <w:basedOn w:val="Carpredefinitoparagrafo"/>
    <w:uiPriority w:val="99"/>
    <w:semiHidden/>
    <w:unhideWhenUsed/>
    <w:rsid w:val="00070445"/>
    <w:rPr>
      <w:sz w:val="16"/>
      <w:szCs w:val="16"/>
    </w:rPr>
  </w:style>
  <w:style w:type="paragraph" w:styleId="Testocommento">
    <w:name w:val="annotation text"/>
    <w:basedOn w:val="Normale"/>
    <w:link w:val="TestocommentoCarattere"/>
    <w:uiPriority w:val="99"/>
    <w:semiHidden/>
    <w:unhideWhenUsed/>
    <w:rsid w:val="00070445"/>
    <w:rPr>
      <w:sz w:val="20"/>
      <w:szCs w:val="20"/>
    </w:rPr>
  </w:style>
  <w:style w:type="character" w:customStyle="1" w:styleId="TestocommentoCarattere">
    <w:name w:val="Testo commento Carattere"/>
    <w:basedOn w:val="Carpredefinitoparagrafo"/>
    <w:link w:val="Testocommento"/>
    <w:uiPriority w:val="99"/>
    <w:semiHidden/>
    <w:rsid w:val="00070445"/>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070445"/>
    <w:rPr>
      <w:b/>
      <w:bCs/>
    </w:rPr>
  </w:style>
  <w:style w:type="character" w:customStyle="1" w:styleId="SoggettocommentoCarattere">
    <w:name w:val="Soggetto commento Carattere"/>
    <w:basedOn w:val="TestocommentoCarattere"/>
    <w:link w:val="Soggettocommento"/>
    <w:uiPriority w:val="99"/>
    <w:semiHidden/>
    <w:rsid w:val="00070445"/>
    <w:rPr>
      <w:rFonts w:ascii="Calibri" w:hAnsi="Calibri" w:cs="Calibri"/>
      <w:b/>
      <w:bCs/>
      <w:sz w:val="20"/>
      <w:szCs w:val="20"/>
    </w:rPr>
  </w:style>
  <w:style w:type="character" w:styleId="Menzionenonrisolta">
    <w:name w:val="Unresolved Mention"/>
    <w:basedOn w:val="Carpredefinitoparagrafo"/>
    <w:uiPriority w:val="99"/>
    <w:semiHidden/>
    <w:unhideWhenUsed/>
    <w:rsid w:val="00586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1479">
      <w:bodyDiv w:val="1"/>
      <w:marLeft w:val="0"/>
      <w:marRight w:val="0"/>
      <w:marTop w:val="0"/>
      <w:marBottom w:val="0"/>
      <w:divBdr>
        <w:top w:val="none" w:sz="0" w:space="0" w:color="auto"/>
        <w:left w:val="none" w:sz="0" w:space="0" w:color="auto"/>
        <w:bottom w:val="none" w:sz="0" w:space="0" w:color="auto"/>
        <w:right w:val="none" w:sz="0" w:space="0" w:color="auto"/>
      </w:divBdr>
    </w:div>
    <w:div w:id="628165164">
      <w:bodyDiv w:val="1"/>
      <w:marLeft w:val="0"/>
      <w:marRight w:val="0"/>
      <w:marTop w:val="0"/>
      <w:marBottom w:val="0"/>
      <w:divBdr>
        <w:top w:val="none" w:sz="0" w:space="0" w:color="auto"/>
        <w:left w:val="none" w:sz="0" w:space="0" w:color="auto"/>
        <w:bottom w:val="none" w:sz="0" w:space="0" w:color="auto"/>
        <w:right w:val="none" w:sz="0" w:space="0" w:color="auto"/>
      </w:divBdr>
    </w:div>
    <w:div w:id="1280255651">
      <w:bodyDiv w:val="1"/>
      <w:marLeft w:val="0"/>
      <w:marRight w:val="0"/>
      <w:marTop w:val="0"/>
      <w:marBottom w:val="0"/>
      <w:divBdr>
        <w:top w:val="none" w:sz="0" w:space="0" w:color="auto"/>
        <w:left w:val="none" w:sz="0" w:space="0" w:color="auto"/>
        <w:bottom w:val="none" w:sz="0" w:space="0" w:color="auto"/>
        <w:right w:val="none" w:sz="0" w:space="0" w:color="auto"/>
      </w:divBdr>
    </w:div>
    <w:div w:id="1666593071">
      <w:bodyDiv w:val="1"/>
      <w:marLeft w:val="0"/>
      <w:marRight w:val="0"/>
      <w:marTop w:val="0"/>
      <w:marBottom w:val="0"/>
      <w:divBdr>
        <w:top w:val="none" w:sz="0" w:space="0" w:color="auto"/>
        <w:left w:val="none" w:sz="0" w:space="0" w:color="auto"/>
        <w:bottom w:val="none" w:sz="0" w:space="0" w:color="auto"/>
        <w:right w:val="none" w:sz="0" w:space="0" w:color="auto"/>
      </w:divBdr>
    </w:div>
    <w:div w:id="19855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media@intermedianews.it" TargetMode="External"/><Relationship Id="rId5" Type="http://schemas.openxmlformats.org/officeDocument/2006/relationships/styles" Target="styles.xml"/><Relationship Id="rId10" Type="http://schemas.openxmlformats.org/officeDocument/2006/relationships/hyperlink" Target="https://healthbiotechaccelerator.i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AE91BD18F88742810D3C7CDAEA9C31" ma:contentTypeVersion="10" ma:contentTypeDescription="Create a new document." ma:contentTypeScope="" ma:versionID="44ee6dc4357a89a912d92123256149d5">
  <xsd:schema xmlns:xsd="http://www.w3.org/2001/XMLSchema" xmlns:xs="http://www.w3.org/2001/XMLSchema" xmlns:p="http://schemas.microsoft.com/office/2006/metadata/properties" xmlns:ns3="b5d760ee-bac1-4699-8d68-b687904f3053" targetNamespace="http://schemas.microsoft.com/office/2006/metadata/properties" ma:root="true" ma:fieldsID="77ec42d566048dde44f6319b953f8219" ns3:_="">
    <xsd:import namespace="b5d760ee-bac1-4699-8d68-b687904f3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760ee-bac1-4699-8d68-b687904f3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78594-914C-4614-80F6-7E2C86F6C303}">
  <ds:schemaRefs>
    <ds:schemaRef ds:uri="http://schemas.microsoft.com/sharepoint/v3/contenttype/forms"/>
  </ds:schemaRefs>
</ds:datastoreItem>
</file>

<file path=customXml/itemProps2.xml><?xml version="1.0" encoding="utf-8"?>
<ds:datastoreItem xmlns:ds="http://schemas.openxmlformats.org/officeDocument/2006/customXml" ds:itemID="{7AB6ABDA-B41B-4D4B-9758-57371C11F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78493-A1D0-4EE5-A4A8-6FEB973F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760ee-bac1-4699-8d68-b687904f3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1752</Words>
  <Characters>9993</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Valentina</dc:creator>
  <cp:keywords/>
  <dc:description/>
  <cp:lastModifiedBy>Paolo Cabra - Intermedia</cp:lastModifiedBy>
  <cp:revision>21</cp:revision>
  <dcterms:created xsi:type="dcterms:W3CDTF">2022-07-25T07:35:00Z</dcterms:created>
  <dcterms:modified xsi:type="dcterms:W3CDTF">2022-07-26T13:26:00Z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a2bcae-c6d6-4638-b2bd-c224461f9995_Enabled">
    <vt:lpwstr>true</vt:lpwstr>
  </property>
  <property fmtid="{D5CDD505-2E9C-101B-9397-08002B2CF9AE}" pid="3" name="MSIP_Label_13a2bcae-c6d6-4638-b2bd-c224461f9995_SetDate">
    <vt:lpwstr>2021-04-15T20:41:55Z</vt:lpwstr>
  </property>
  <property fmtid="{D5CDD505-2E9C-101B-9397-08002B2CF9AE}" pid="4" name="MSIP_Label_13a2bcae-c6d6-4638-b2bd-c224461f9995_Method">
    <vt:lpwstr>Privileged</vt:lpwstr>
  </property>
  <property fmtid="{D5CDD505-2E9C-101B-9397-08002B2CF9AE}" pid="5" name="MSIP_Label_13a2bcae-c6d6-4638-b2bd-c224461f9995_Name">
    <vt:lpwstr>Italian - Not Classified</vt:lpwstr>
  </property>
  <property fmtid="{D5CDD505-2E9C-101B-9397-08002B2CF9AE}" pid="6" name="MSIP_Label_13a2bcae-c6d6-4638-b2bd-c224461f9995_SiteId">
    <vt:lpwstr>a00de4ec-48a8-43a6-be74-e31274e2060d</vt:lpwstr>
  </property>
  <property fmtid="{D5CDD505-2E9C-101B-9397-08002B2CF9AE}" pid="7" name="MSIP_Label_13a2bcae-c6d6-4638-b2bd-c224461f9995_ActionId">
    <vt:lpwstr>849cfb20-7c32-44f1-b6dd-175d1a2a6a5e</vt:lpwstr>
  </property>
  <property fmtid="{D5CDD505-2E9C-101B-9397-08002B2CF9AE}" pid="8" name="MSIP_Label_13a2bcae-c6d6-4638-b2bd-c224461f9995_ContentBits">
    <vt:lpwstr>0</vt:lpwstr>
  </property>
  <property fmtid="{D5CDD505-2E9C-101B-9397-08002B2CF9AE}" pid="9" name="ContentTypeId">
    <vt:lpwstr>0x01010029AE91BD18F88742810D3C7CDAEA9C31</vt:lpwstr>
  </property>
  <property fmtid="{D5CDD505-2E9C-101B-9397-08002B2CF9AE}" pid="10" name="_NewReviewCycle">
    <vt:lpwstr/>
  </property>
  <property fmtid="{D5CDD505-2E9C-101B-9397-08002B2CF9AE}" pid="11" name="_AdHocReviewCycleID">
    <vt:i4>1558869476</vt:i4>
  </property>
  <property fmtid="{D5CDD505-2E9C-101B-9397-08002B2CF9AE}" pid="12" name="_EmailSubject">
    <vt:lpwstr>[Confidential] bozza CS Health&amp;Biotech Summit</vt:lpwstr>
  </property>
  <property fmtid="{D5CDD505-2E9C-101B-9397-08002B2CF9AE}" pid="13" name="_AuthorEmail">
    <vt:lpwstr>goffredo.freddi@msd.com</vt:lpwstr>
  </property>
  <property fmtid="{D5CDD505-2E9C-101B-9397-08002B2CF9AE}" pid="14" name="_AuthorEmailDisplayName">
    <vt:lpwstr>Freddi, Goffredo</vt:lpwstr>
  </property>
  <property fmtid="{D5CDD505-2E9C-101B-9397-08002B2CF9AE}" pid="15" name="_PreviousAdHocReviewCycleID">
    <vt:i4>1129345877</vt:i4>
  </property>
  <property fmtid="{D5CDD505-2E9C-101B-9397-08002B2CF9AE}" pid="16" name="_ReviewingToolsShownOnce">
    <vt:lpwstr/>
  </property>
</Properties>
</file>