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43D10" w14:textId="77777777" w:rsidR="0051427A" w:rsidRDefault="0051427A" w:rsidP="002B18D2">
      <w:pPr>
        <w:rPr>
          <w:b/>
          <w:bCs/>
          <w:u w:val="single"/>
        </w:rPr>
      </w:pPr>
    </w:p>
    <w:p w14:paraId="2D469A31" w14:textId="77777777" w:rsidR="0051427A" w:rsidRDefault="0051427A" w:rsidP="0051427A">
      <w:pPr>
        <w:jc w:val="center"/>
        <w:rPr>
          <w:b/>
          <w:bCs/>
        </w:rPr>
      </w:pPr>
    </w:p>
    <w:p w14:paraId="7C072897" w14:textId="4EE661E4" w:rsidR="002572D0" w:rsidRDefault="0051427A" w:rsidP="00D12763">
      <w:pPr>
        <w:jc w:val="center"/>
        <w:rPr>
          <w:b/>
          <w:bCs/>
          <w:lang w:val="it-IT"/>
        </w:rPr>
      </w:pPr>
      <w:r w:rsidRPr="00D0752E">
        <w:rPr>
          <w:b/>
          <w:bCs/>
          <w:lang w:val="it-IT"/>
        </w:rPr>
        <w:t>Comunicato Stampa</w:t>
      </w:r>
    </w:p>
    <w:p w14:paraId="77464AE1" w14:textId="5EB39EE2" w:rsidR="00C20CCD" w:rsidRPr="00C20CCD" w:rsidRDefault="00C20CCD" w:rsidP="00D12763">
      <w:pPr>
        <w:jc w:val="center"/>
        <w:rPr>
          <w:bCs/>
          <w:i/>
          <w:u w:val="single"/>
          <w:lang w:val="it-IT"/>
        </w:rPr>
      </w:pPr>
    </w:p>
    <w:p w14:paraId="2BE33BC3" w14:textId="79ADB214" w:rsidR="00C20CCD" w:rsidRPr="00C437A5" w:rsidRDefault="00C20CCD" w:rsidP="00D12763">
      <w:pPr>
        <w:jc w:val="center"/>
        <w:rPr>
          <w:bCs/>
          <w:i/>
          <w:u w:val="single"/>
          <w:lang w:val="it-IT"/>
        </w:rPr>
      </w:pPr>
      <w:r w:rsidRPr="00C437A5">
        <w:rPr>
          <w:bCs/>
          <w:i/>
          <w:u w:val="single"/>
          <w:lang w:val="it-IT"/>
        </w:rPr>
        <w:t>San Antonio Breast Cancer Symposium (SABCS 2022)</w:t>
      </w:r>
    </w:p>
    <w:p w14:paraId="1EA04210" w14:textId="05131205" w:rsidR="006137F2" w:rsidRPr="00C437A5" w:rsidRDefault="006137F2" w:rsidP="00D12763">
      <w:pPr>
        <w:jc w:val="center"/>
        <w:rPr>
          <w:b/>
          <w:bCs/>
          <w:lang w:val="it-IT"/>
        </w:rPr>
      </w:pPr>
    </w:p>
    <w:p w14:paraId="3AA8444C" w14:textId="77777777" w:rsidR="00C20CCD" w:rsidRPr="000F430E" w:rsidRDefault="00C20CCD" w:rsidP="00D12763">
      <w:pPr>
        <w:jc w:val="center"/>
        <w:rPr>
          <w:rFonts w:asciiTheme="majorHAnsi" w:hAnsiTheme="majorHAnsi" w:cstheme="majorHAnsi"/>
          <w:b/>
          <w:bCs/>
          <w:sz w:val="28"/>
          <w:szCs w:val="28"/>
          <w:lang w:val="it-IT"/>
        </w:rPr>
      </w:pPr>
      <w:r w:rsidRPr="000F430E">
        <w:rPr>
          <w:rFonts w:asciiTheme="majorHAnsi" w:hAnsiTheme="majorHAnsi" w:cstheme="majorHAnsi"/>
          <w:b/>
          <w:bCs/>
          <w:sz w:val="28"/>
          <w:szCs w:val="28"/>
          <w:lang w:val="it-IT"/>
        </w:rPr>
        <w:t xml:space="preserve">Carcinoma mammario HER2+ metastatico, </w:t>
      </w:r>
    </w:p>
    <w:p w14:paraId="47A6F1C1" w14:textId="057D8439" w:rsidR="006137F2" w:rsidRPr="000F430E" w:rsidRDefault="00A661AE" w:rsidP="00D12763">
      <w:pPr>
        <w:jc w:val="center"/>
        <w:rPr>
          <w:b/>
          <w:bCs/>
          <w:sz w:val="28"/>
          <w:szCs w:val="28"/>
          <w:lang w:val="it-IT"/>
        </w:rPr>
      </w:pPr>
      <w:r w:rsidRPr="000F430E">
        <w:rPr>
          <w:rFonts w:asciiTheme="majorHAnsi" w:hAnsiTheme="majorHAnsi" w:cstheme="majorHAnsi"/>
          <w:b/>
          <w:bCs/>
          <w:sz w:val="28"/>
          <w:szCs w:val="28"/>
          <w:lang w:val="it-IT"/>
        </w:rPr>
        <w:t xml:space="preserve">con </w:t>
      </w:r>
      <w:r w:rsidR="00C20CCD" w:rsidRPr="000F430E">
        <w:rPr>
          <w:rFonts w:asciiTheme="majorHAnsi" w:hAnsiTheme="majorHAnsi" w:cstheme="majorHAnsi"/>
          <w:b/>
          <w:bCs/>
          <w:sz w:val="28"/>
          <w:szCs w:val="28"/>
          <w:lang w:val="it-IT"/>
        </w:rPr>
        <w:t>T</w:t>
      </w:r>
      <w:r w:rsidR="00F83928" w:rsidRPr="000F430E">
        <w:rPr>
          <w:rFonts w:asciiTheme="majorHAnsi" w:hAnsiTheme="majorHAnsi" w:cstheme="majorHAnsi"/>
          <w:b/>
          <w:bCs/>
          <w:sz w:val="28"/>
          <w:szCs w:val="28"/>
          <w:lang w:val="it-IT"/>
        </w:rPr>
        <w:t>rastuzumab deruxtecan</w:t>
      </w:r>
      <w:r w:rsidRPr="000F430E">
        <w:rPr>
          <w:rFonts w:asciiTheme="majorHAnsi" w:hAnsiTheme="majorHAnsi" w:cstheme="majorHAnsi"/>
          <w:b/>
          <w:bCs/>
          <w:sz w:val="28"/>
          <w:szCs w:val="28"/>
          <w:lang w:val="it-IT"/>
        </w:rPr>
        <w:t xml:space="preserve"> (T-DXd) </w:t>
      </w:r>
      <w:r w:rsidR="00FD63C7" w:rsidRPr="000F430E">
        <w:rPr>
          <w:rFonts w:asciiTheme="majorHAnsi" w:hAnsiTheme="majorHAnsi" w:cstheme="majorHAnsi"/>
          <w:b/>
          <w:bCs/>
          <w:sz w:val="28"/>
          <w:szCs w:val="28"/>
          <w:lang w:val="it-IT"/>
        </w:rPr>
        <w:t xml:space="preserve">raggiunta la significatività statistica per il dato di </w:t>
      </w:r>
      <w:r w:rsidRPr="000F430E">
        <w:rPr>
          <w:rFonts w:asciiTheme="majorHAnsi" w:hAnsiTheme="majorHAnsi" w:cstheme="majorHAnsi"/>
          <w:b/>
          <w:bCs/>
          <w:sz w:val="28"/>
          <w:szCs w:val="28"/>
          <w:lang w:val="it-IT"/>
        </w:rPr>
        <w:t xml:space="preserve">sopravvivenza </w:t>
      </w:r>
      <w:r w:rsidR="00FD63C7" w:rsidRPr="000F430E">
        <w:rPr>
          <w:rFonts w:asciiTheme="majorHAnsi" w:hAnsiTheme="majorHAnsi" w:cstheme="majorHAnsi"/>
          <w:b/>
          <w:bCs/>
          <w:sz w:val="28"/>
          <w:szCs w:val="28"/>
          <w:lang w:val="it-IT"/>
        </w:rPr>
        <w:t>globale</w:t>
      </w:r>
      <w:r w:rsidR="000F430E">
        <w:rPr>
          <w:rFonts w:asciiTheme="majorHAnsi" w:hAnsiTheme="majorHAnsi" w:cstheme="majorHAnsi"/>
          <w:b/>
          <w:bCs/>
          <w:sz w:val="28"/>
          <w:szCs w:val="28"/>
          <w:lang w:val="it-IT"/>
        </w:rPr>
        <w:t>,</w:t>
      </w:r>
      <w:r w:rsidR="00FD63C7" w:rsidRPr="000F430E">
        <w:rPr>
          <w:rFonts w:asciiTheme="majorHAnsi" w:hAnsiTheme="majorHAnsi" w:cstheme="majorHAnsi"/>
          <w:b/>
          <w:bCs/>
          <w:sz w:val="28"/>
          <w:szCs w:val="28"/>
          <w:lang w:val="it-IT"/>
        </w:rPr>
        <w:t xml:space="preserve"> con una</w:t>
      </w:r>
      <w:r w:rsidRPr="000F430E">
        <w:rPr>
          <w:rFonts w:asciiTheme="majorHAnsi" w:hAnsiTheme="majorHAnsi" w:cstheme="majorHAnsi"/>
          <w:b/>
          <w:bCs/>
          <w:sz w:val="28"/>
          <w:szCs w:val="28"/>
          <w:lang w:val="it-IT"/>
        </w:rPr>
        <w:t xml:space="preserve"> riduzione del rischio di morte del 36% rispetto a Trastuzumab Emtansine (T-DM1) </w:t>
      </w:r>
    </w:p>
    <w:p w14:paraId="5EB6F8F2" w14:textId="2C794168" w:rsidR="00F83928" w:rsidRPr="000F430E" w:rsidRDefault="00F83928" w:rsidP="00474834">
      <w:pPr>
        <w:pStyle w:val="NormaleWeb"/>
        <w:shd w:val="clear" w:color="auto" w:fill="FFFFFF" w:themeFill="background1"/>
        <w:spacing w:after="0"/>
        <w:rPr>
          <w:b/>
          <w:bCs/>
          <w:color w:val="0070C0"/>
          <w:sz w:val="22"/>
          <w:szCs w:val="22"/>
          <w:lang w:val="it-IT"/>
        </w:rPr>
      </w:pPr>
    </w:p>
    <w:p w14:paraId="098E43CC" w14:textId="76175F7F" w:rsidR="00F33E87" w:rsidRPr="000F430E" w:rsidRDefault="00C20CCD" w:rsidP="00F33E87">
      <w:pPr>
        <w:pStyle w:val="NormaleWeb"/>
        <w:shd w:val="clear" w:color="auto" w:fill="FFFFFF" w:themeFill="background1"/>
        <w:spacing w:after="120"/>
        <w:jc w:val="center"/>
        <w:rPr>
          <w:rFonts w:asciiTheme="majorHAnsi" w:eastAsiaTheme="minorEastAsia" w:hAnsiTheme="majorHAnsi" w:cstheme="majorHAnsi"/>
          <w:i/>
          <w:sz w:val="22"/>
          <w:szCs w:val="22"/>
          <w:lang w:val="it-IT" w:eastAsia="en-US"/>
        </w:rPr>
      </w:pPr>
      <w:r w:rsidRPr="000F430E">
        <w:rPr>
          <w:rFonts w:asciiTheme="majorHAnsi" w:eastAsiaTheme="minorEastAsia" w:hAnsiTheme="majorHAnsi" w:cstheme="majorHAnsi"/>
          <w:i/>
          <w:sz w:val="22"/>
          <w:szCs w:val="22"/>
          <w:lang w:val="it-IT" w:eastAsia="en-US"/>
        </w:rPr>
        <w:t>Trastuzumab deruxtecan (T-DXd)</w:t>
      </w:r>
      <w:r w:rsidR="00F83928" w:rsidRPr="000F430E">
        <w:rPr>
          <w:rFonts w:asciiTheme="majorHAnsi" w:eastAsiaTheme="minorEastAsia" w:hAnsiTheme="majorHAnsi" w:cstheme="majorHAnsi"/>
          <w:i/>
          <w:sz w:val="22"/>
          <w:szCs w:val="22"/>
          <w:lang w:val="it-IT" w:eastAsia="en-US"/>
        </w:rPr>
        <w:t xml:space="preserve"> di Daiichi Sankyo e AstraZeneca ha </w:t>
      </w:r>
      <w:r w:rsidR="00FD63C7" w:rsidRPr="000F430E">
        <w:rPr>
          <w:rFonts w:asciiTheme="majorHAnsi" w:eastAsiaTheme="minorEastAsia" w:hAnsiTheme="majorHAnsi" w:cstheme="majorHAnsi"/>
          <w:i/>
          <w:sz w:val="22"/>
          <w:szCs w:val="22"/>
          <w:lang w:val="it-IT" w:eastAsia="en-US"/>
        </w:rPr>
        <w:t xml:space="preserve">raggiunto la significatività statistica del dato di </w:t>
      </w:r>
      <w:r w:rsidR="00F83928" w:rsidRPr="000F430E">
        <w:rPr>
          <w:rFonts w:asciiTheme="majorHAnsi" w:eastAsiaTheme="minorEastAsia" w:hAnsiTheme="majorHAnsi" w:cstheme="majorHAnsi"/>
          <w:i/>
          <w:sz w:val="22"/>
          <w:szCs w:val="22"/>
          <w:lang w:val="it-IT" w:eastAsia="en-US"/>
        </w:rPr>
        <w:t xml:space="preserve">sopravvivenza globale </w:t>
      </w:r>
      <w:r w:rsidR="00FD63C7" w:rsidRPr="000F430E">
        <w:rPr>
          <w:rFonts w:asciiTheme="majorHAnsi" w:eastAsiaTheme="minorEastAsia" w:hAnsiTheme="majorHAnsi" w:cstheme="majorHAnsi"/>
          <w:i/>
          <w:sz w:val="22"/>
          <w:szCs w:val="22"/>
          <w:lang w:val="it-IT" w:eastAsia="en-US"/>
        </w:rPr>
        <w:t xml:space="preserve">con una riduzione </w:t>
      </w:r>
      <w:r w:rsidR="00F83928" w:rsidRPr="000F430E">
        <w:rPr>
          <w:rFonts w:asciiTheme="majorHAnsi" w:eastAsiaTheme="minorEastAsia" w:hAnsiTheme="majorHAnsi" w:cstheme="majorHAnsi"/>
          <w:i/>
          <w:sz w:val="22"/>
          <w:szCs w:val="22"/>
          <w:lang w:val="it-IT" w:eastAsia="en-US"/>
        </w:rPr>
        <w:t>del 36%</w:t>
      </w:r>
      <w:r w:rsidR="00FD63C7" w:rsidRPr="000F430E">
        <w:rPr>
          <w:rFonts w:asciiTheme="majorHAnsi" w:eastAsiaTheme="minorEastAsia" w:hAnsiTheme="majorHAnsi" w:cstheme="majorHAnsi"/>
          <w:i/>
          <w:sz w:val="22"/>
          <w:szCs w:val="22"/>
          <w:lang w:val="it-IT" w:eastAsia="en-US"/>
        </w:rPr>
        <w:t xml:space="preserve"> del rischio di morte</w:t>
      </w:r>
      <w:r w:rsidR="00A661AE" w:rsidRPr="000F430E">
        <w:rPr>
          <w:rFonts w:asciiTheme="majorHAnsi" w:eastAsiaTheme="minorEastAsia" w:hAnsiTheme="majorHAnsi" w:cstheme="majorHAnsi"/>
          <w:i/>
          <w:sz w:val="22"/>
          <w:szCs w:val="22"/>
          <w:lang w:val="it-IT" w:eastAsia="en-US"/>
        </w:rPr>
        <w:t xml:space="preserve"> e</w:t>
      </w:r>
      <w:r w:rsidR="00E43CCE" w:rsidRPr="000F430E">
        <w:rPr>
          <w:rFonts w:asciiTheme="majorHAnsi" w:eastAsiaTheme="minorEastAsia" w:hAnsiTheme="majorHAnsi" w:cstheme="majorHAnsi"/>
          <w:i/>
          <w:sz w:val="22"/>
          <w:szCs w:val="22"/>
          <w:lang w:val="it-IT" w:eastAsia="en-US"/>
        </w:rPr>
        <w:t xml:space="preserve"> ha migliorato</w:t>
      </w:r>
      <w:r w:rsidR="00A661AE" w:rsidRPr="000F430E">
        <w:rPr>
          <w:rFonts w:asciiTheme="majorHAnsi" w:eastAsiaTheme="minorEastAsia" w:hAnsiTheme="majorHAnsi" w:cstheme="majorHAnsi"/>
          <w:i/>
          <w:sz w:val="22"/>
          <w:szCs w:val="22"/>
          <w:lang w:val="it-IT" w:eastAsia="en-US"/>
        </w:rPr>
        <w:t xml:space="preserve"> la sopravvivenza libera da progressione di 22 mesi</w:t>
      </w:r>
      <w:r w:rsidR="00F83928" w:rsidRPr="000F430E">
        <w:rPr>
          <w:rFonts w:asciiTheme="majorHAnsi" w:eastAsiaTheme="minorEastAsia" w:hAnsiTheme="majorHAnsi" w:cstheme="majorHAnsi"/>
          <w:i/>
          <w:sz w:val="22"/>
          <w:szCs w:val="22"/>
          <w:lang w:val="it-IT" w:eastAsia="en-US"/>
        </w:rPr>
        <w:t xml:space="preserve"> rispetto a</w:t>
      </w:r>
      <w:r w:rsidRPr="000F430E">
        <w:rPr>
          <w:rFonts w:asciiTheme="majorHAnsi" w:eastAsiaTheme="minorEastAsia" w:hAnsiTheme="majorHAnsi" w:cstheme="majorHAnsi"/>
          <w:i/>
          <w:sz w:val="22"/>
          <w:szCs w:val="22"/>
          <w:lang w:val="it-IT" w:eastAsia="en-US"/>
        </w:rPr>
        <w:t xml:space="preserve"> Trastuzumab emtansine</w:t>
      </w:r>
      <w:r w:rsidR="00F83928" w:rsidRPr="000F430E">
        <w:rPr>
          <w:rFonts w:asciiTheme="majorHAnsi" w:eastAsiaTheme="minorEastAsia" w:hAnsiTheme="majorHAnsi" w:cstheme="majorHAnsi"/>
          <w:i/>
          <w:sz w:val="22"/>
          <w:szCs w:val="22"/>
          <w:lang w:val="it-IT" w:eastAsia="en-US"/>
        </w:rPr>
        <w:t xml:space="preserve"> </w:t>
      </w:r>
      <w:r w:rsidRPr="000F430E">
        <w:rPr>
          <w:rFonts w:asciiTheme="majorHAnsi" w:eastAsiaTheme="minorEastAsia" w:hAnsiTheme="majorHAnsi" w:cstheme="majorHAnsi"/>
          <w:i/>
          <w:sz w:val="22"/>
          <w:szCs w:val="22"/>
          <w:lang w:val="it-IT" w:eastAsia="en-US"/>
        </w:rPr>
        <w:t>(</w:t>
      </w:r>
      <w:r w:rsidR="00F83928" w:rsidRPr="000F430E">
        <w:rPr>
          <w:rFonts w:asciiTheme="majorHAnsi" w:eastAsiaTheme="minorEastAsia" w:hAnsiTheme="majorHAnsi" w:cstheme="majorHAnsi"/>
          <w:i/>
          <w:sz w:val="22"/>
          <w:szCs w:val="22"/>
          <w:lang w:val="it-IT" w:eastAsia="en-US"/>
        </w:rPr>
        <w:t>T-DM1</w:t>
      </w:r>
      <w:r w:rsidRPr="000F430E">
        <w:rPr>
          <w:rFonts w:asciiTheme="majorHAnsi" w:eastAsiaTheme="minorEastAsia" w:hAnsiTheme="majorHAnsi" w:cstheme="majorHAnsi"/>
          <w:i/>
          <w:sz w:val="22"/>
          <w:szCs w:val="22"/>
          <w:lang w:val="it-IT" w:eastAsia="en-US"/>
        </w:rPr>
        <w:t>)</w:t>
      </w:r>
      <w:r w:rsidR="00A577AA" w:rsidRPr="000F430E">
        <w:rPr>
          <w:rFonts w:asciiTheme="majorHAnsi" w:eastAsiaTheme="minorEastAsia" w:hAnsiTheme="majorHAnsi" w:cstheme="majorHAnsi"/>
          <w:i/>
          <w:sz w:val="22"/>
          <w:szCs w:val="22"/>
          <w:lang w:val="it-IT" w:eastAsia="en-US"/>
        </w:rPr>
        <w:t>,</w:t>
      </w:r>
      <w:r w:rsidR="00F83928" w:rsidRPr="000F430E">
        <w:rPr>
          <w:rFonts w:asciiTheme="majorHAnsi" w:eastAsiaTheme="minorEastAsia" w:hAnsiTheme="majorHAnsi" w:cstheme="majorHAnsi"/>
          <w:i/>
          <w:sz w:val="22"/>
          <w:szCs w:val="22"/>
          <w:lang w:val="it-IT" w:eastAsia="en-US"/>
        </w:rPr>
        <w:t xml:space="preserve"> in pazienti precedentemente trattate</w:t>
      </w:r>
      <w:r w:rsidR="00A661AE" w:rsidRPr="000F430E">
        <w:rPr>
          <w:rFonts w:asciiTheme="majorHAnsi" w:eastAsiaTheme="minorEastAsia" w:hAnsiTheme="majorHAnsi" w:cstheme="majorHAnsi"/>
          <w:i/>
          <w:sz w:val="22"/>
          <w:szCs w:val="22"/>
          <w:lang w:val="it-IT" w:eastAsia="en-US"/>
        </w:rPr>
        <w:t xml:space="preserve"> con terapie anti-HER2</w:t>
      </w:r>
      <w:r w:rsidR="00F83928" w:rsidRPr="000F430E">
        <w:rPr>
          <w:rFonts w:asciiTheme="majorHAnsi" w:eastAsiaTheme="minorEastAsia" w:hAnsiTheme="majorHAnsi" w:cstheme="majorHAnsi"/>
          <w:i/>
          <w:sz w:val="22"/>
          <w:szCs w:val="22"/>
          <w:lang w:val="it-IT" w:eastAsia="en-US"/>
        </w:rPr>
        <w:t>.</w:t>
      </w:r>
      <w:r w:rsidR="00F33E87" w:rsidRPr="000F430E">
        <w:rPr>
          <w:rFonts w:asciiTheme="majorHAnsi" w:eastAsiaTheme="minorEastAsia" w:hAnsiTheme="majorHAnsi" w:cstheme="majorHAnsi"/>
          <w:i/>
          <w:sz w:val="22"/>
          <w:szCs w:val="22"/>
          <w:lang w:val="it-IT" w:eastAsia="en-US"/>
        </w:rPr>
        <w:t xml:space="preserve"> </w:t>
      </w:r>
      <w:r w:rsidR="00A577AA" w:rsidRPr="000F430E">
        <w:rPr>
          <w:rFonts w:asciiTheme="majorHAnsi" w:eastAsiaTheme="minorEastAsia" w:hAnsiTheme="majorHAnsi" w:cstheme="majorHAnsi"/>
          <w:i/>
          <w:sz w:val="22"/>
          <w:szCs w:val="22"/>
          <w:lang w:val="it-IT" w:eastAsia="en-US"/>
        </w:rPr>
        <w:t>Al SABCS2022 presentati i risultati aggiornati de</w:t>
      </w:r>
      <w:r w:rsidR="00D318CE" w:rsidRPr="000F430E">
        <w:rPr>
          <w:rFonts w:asciiTheme="majorHAnsi" w:eastAsiaTheme="minorEastAsia" w:hAnsiTheme="majorHAnsi" w:cstheme="majorHAnsi"/>
          <w:i/>
          <w:sz w:val="22"/>
          <w:szCs w:val="22"/>
          <w:lang w:val="it-IT" w:eastAsia="en-US"/>
        </w:rPr>
        <w:t>l</w:t>
      </w:r>
      <w:r w:rsidR="00A577AA" w:rsidRPr="000F430E">
        <w:rPr>
          <w:rFonts w:asciiTheme="majorHAnsi" w:eastAsiaTheme="minorEastAsia" w:hAnsiTheme="majorHAnsi" w:cstheme="majorHAnsi"/>
          <w:i/>
          <w:sz w:val="22"/>
          <w:szCs w:val="22"/>
          <w:lang w:val="it-IT" w:eastAsia="en-US"/>
        </w:rPr>
        <w:t>l</w:t>
      </w:r>
      <w:r w:rsidR="00D318CE" w:rsidRPr="000F430E">
        <w:rPr>
          <w:rFonts w:asciiTheme="majorHAnsi" w:eastAsiaTheme="minorEastAsia" w:hAnsiTheme="majorHAnsi" w:cstheme="majorHAnsi"/>
          <w:i/>
          <w:sz w:val="22"/>
          <w:szCs w:val="22"/>
          <w:lang w:val="it-IT" w:eastAsia="en-US"/>
        </w:rPr>
        <w:t>o studio</w:t>
      </w:r>
      <w:r w:rsidR="00A577AA" w:rsidRPr="000F430E">
        <w:rPr>
          <w:rFonts w:asciiTheme="majorHAnsi" w:eastAsiaTheme="minorEastAsia" w:hAnsiTheme="majorHAnsi" w:cstheme="majorHAnsi"/>
          <w:i/>
          <w:sz w:val="22"/>
          <w:szCs w:val="22"/>
          <w:lang w:val="it-IT" w:eastAsia="en-US"/>
        </w:rPr>
        <w:t xml:space="preserve"> DESTINY-Breast03</w:t>
      </w:r>
    </w:p>
    <w:p w14:paraId="0F3F7583" w14:textId="194EF79A" w:rsidR="00474834" w:rsidRPr="000F430E" w:rsidRDefault="00A661AE" w:rsidP="00AB5B3C">
      <w:pPr>
        <w:pStyle w:val="NormaleWeb"/>
        <w:shd w:val="clear" w:color="auto" w:fill="FFFFFF" w:themeFill="background1"/>
        <w:spacing w:after="120"/>
        <w:jc w:val="center"/>
        <w:rPr>
          <w:rFonts w:asciiTheme="majorHAnsi" w:eastAsiaTheme="minorEastAsia" w:hAnsiTheme="majorHAnsi" w:cstheme="majorHAnsi"/>
          <w:i/>
          <w:sz w:val="22"/>
          <w:szCs w:val="22"/>
          <w:lang w:val="it-IT" w:eastAsia="en-US"/>
        </w:rPr>
      </w:pPr>
      <w:r w:rsidRPr="000F430E">
        <w:rPr>
          <w:rFonts w:asciiTheme="majorHAnsi" w:eastAsiaTheme="minorEastAsia" w:hAnsiTheme="majorHAnsi" w:cstheme="majorHAnsi"/>
          <w:i/>
          <w:sz w:val="22"/>
          <w:szCs w:val="22"/>
          <w:lang w:val="it-IT" w:eastAsia="en-US"/>
        </w:rPr>
        <w:t>Trastuzumab deruxtecan ha inoltre dimostrato un significativo miglioramento della sopravvivenza libera da progressione e della sopravvivenza globale rispetto alla chemioterapia</w:t>
      </w:r>
      <w:r w:rsidR="00630D1E" w:rsidRPr="000F430E">
        <w:rPr>
          <w:rFonts w:asciiTheme="majorHAnsi" w:eastAsiaTheme="minorEastAsia" w:hAnsiTheme="majorHAnsi" w:cstheme="majorHAnsi"/>
          <w:i/>
          <w:sz w:val="22"/>
          <w:szCs w:val="22"/>
          <w:lang w:val="it-IT" w:eastAsia="en-US"/>
        </w:rPr>
        <w:t>, nel</w:t>
      </w:r>
      <w:r w:rsidR="00E43CCE" w:rsidRPr="000F430E">
        <w:rPr>
          <w:rFonts w:asciiTheme="majorHAnsi" w:eastAsiaTheme="minorEastAsia" w:hAnsiTheme="majorHAnsi" w:cstheme="majorHAnsi"/>
          <w:i/>
          <w:sz w:val="22"/>
          <w:szCs w:val="22"/>
          <w:lang w:val="it-IT" w:eastAsia="en-US"/>
        </w:rPr>
        <w:t>lo studio di fase 3</w:t>
      </w:r>
      <w:r w:rsidR="00630D1E" w:rsidRPr="000F430E">
        <w:rPr>
          <w:rFonts w:asciiTheme="majorHAnsi" w:eastAsiaTheme="minorEastAsia" w:hAnsiTheme="majorHAnsi" w:cstheme="majorHAnsi"/>
          <w:i/>
          <w:sz w:val="22"/>
          <w:szCs w:val="22"/>
          <w:lang w:val="it-IT" w:eastAsia="en-US"/>
        </w:rPr>
        <w:t xml:space="preserve"> DESTINY-Breast02, che ha </w:t>
      </w:r>
      <w:r w:rsidR="00E43CCE" w:rsidRPr="000F430E">
        <w:rPr>
          <w:rFonts w:asciiTheme="majorHAnsi" w:eastAsiaTheme="minorEastAsia" w:hAnsiTheme="majorHAnsi" w:cstheme="majorHAnsi"/>
          <w:i/>
          <w:sz w:val="22"/>
          <w:szCs w:val="22"/>
          <w:lang w:val="it-IT" w:eastAsia="en-US"/>
        </w:rPr>
        <w:t xml:space="preserve">valutato </w:t>
      </w:r>
      <w:r w:rsidR="00630D1E" w:rsidRPr="000F430E">
        <w:rPr>
          <w:rFonts w:asciiTheme="majorHAnsi" w:eastAsiaTheme="minorEastAsia" w:hAnsiTheme="majorHAnsi" w:cstheme="majorHAnsi"/>
          <w:i/>
          <w:sz w:val="22"/>
          <w:szCs w:val="22"/>
          <w:lang w:val="it-IT" w:eastAsia="en-US"/>
        </w:rPr>
        <w:t xml:space="preserve">trastuzumab deruxtecan </w:t>
      </w:r>
      <w:r w:rsidRPr="000F430E">
        <w:rPr>
          <w:rFonts w:asciiTheme="majorHAnsi" w:eastAsiaTheme="minorEastAsia" w:hAnsiTheme="majorHAnsi" w:cstheme="majorHAnsi"/>
          <w:i/>
          <w:sz w:val="22"/>
          <w:szCs w:val="22"/>
          <w:lang w:val="it-IT" w:eastAsia="en-US"/>
        </w:rPr>
        <w:t>come terapia di seconda linea nel setting HER2 positivo</w:t>
      </w:r>
      <w:r w:rsidR="00E43CCE" w:rsidRPr="000F430E">
        <w:rPr>
          <w:rFonts w:asciiTheme="majorHAnsi" w:eastAsiaTheme="minorEastAsia" w:hAnsiTheme="majorHAnsi" w:cstheme="majorHAnsi"/>
          <w:i/>
          <w:sz w:val="22"/>
          <w:szCs w:val="22"/>
          <w:lang w:val="it-IT" w:eastAsia="en-US"/>
        </w:rPr>
        <w:t xml:space="preserve"> in un setti</w:t>
      </w:r>
      <w:r w:rsidR="000F430E">
        <w:rPr>
          <w:rFonts w:asciiTheme="majorHAnsi" w:eastAsiaTheme="minorEastAsia" w:hAnsiTheme="majorHAnsi" w:cstheme="majorHAnsi"/>
          <w:i/>
          <w:sz w:val="22"/>
          <w:szCs w:val="22"/>
          <w:lang w:val="it-IT" w:eastAsia="en-US"/>
        </w:rPr>
        <w:t>n</w:t>
      </w:r>
      <w:r w:rsidR="00E43CCE" w:rsidRPr="000F430E">
        <w:rPr>
          <w:rFonts w:asciiTheme="majorHAnsi" w:eastAsiaTheme="minorEastAsia" w:hAnsiTheme="majorHAnsi" w:cstheme="majorHAnsi"/>
          <w:i/>
          <w:sz w:val="22"/>
          <w:szCs w:val="22"/>
          <w:lang w:val="it-IT" w:eastAsia="en-US"/>
        </w:rPr>
        <w:t>g avanzato</w:t>
      </w:r>
      <w:r w:rsidR="00630D1E" w:rsidRPr="000F430E">
        <w:rPr>
          <w:rFonts w:asciiTheme="majorHAnsi" w:eastAsiaTheme="minorEastAsia" w:hAnsiTheme="majorHAnsi" w:cstheme="majorHAnsi"/>
          <w:i/>
          <w:sz w:val="22"/>
          <w:szCs w:val="22"/>
          <w:lang w:val="it-IT" w:eastAsia="en-US"/>
        </w:rPr>
        <w:t>.</w:t>
      </w:r>
      <w:r w:rsidRPr="000F430E">
        <w:rPr>
          <w:rFonts w:asciiTheme="majorHAnsi" w:eastAsiaTheme="minorEastAsia" w:hAnsiTheme="majorHAnsi" w:cstheme="majorHAnsi"/>
          <w:i/>
          <w:sz w:val="22"/>
          <w:szCs w:val="22"/>
          <w:lang w:val="it-IT" w:eastAsia="en-US"/>
        </w:rPr>
        <w:t xml:space="preserve"> </w:t>
      </w:r>
    </w:p>
    <w:p w14:paraId="0C82E632" w14:textId="14C5B1DB" w:rsidR="00F83928" w:rsidRPr="000F430E" w:rsidRDefault="00F83928" w:rsidP="00F83928">
      <w:pPr>
        <w:jc w:val="both"/>
        <w:rPr>
          <w:sz w:val="22"/>
          <w:szCs w:val="22"/>
          <w:lang w:val="it-IT"/>
        </w:rPr>
      </w:pPr>
    </w:p>
    <w:p w14:paraId="38F840E3" w14:textId="551BDFDD" w:rsidR="00F83928" w:rsidRPr="000F430E" w:rsidRDefault="00F33E87" w:rsidP="00F83928">
      <w:pPr>
        <w:jc w:val="both"/>
        <w:rPr>
          <w:sz w:val="22"/>
          <w:szCs w:val="22"/>
          <w:lang w:val="it-IT"/>
        </w:rPr>
      </w:pPr>
      <w:r w:rsidRPr="000F430E">
        <w:rPr>
          <w:i/>
          <w:sz w:val="22"/>
          <w:szCs w:val="22"/>
          <w:lang w:val="it-IT"/>
        </w:rPr>
        <w:t>San Antonio,</w:t>
      </w:r>
      <w:r w:rsidR="00AB5B3C" w:rsidRPr="000F430E">
        <w:rPr>
          <w:i/>
          <w:sz w:val="22"/>
          <w:szCs w:val="22"/>
          <w:lang w:val="it-IT"/>
        </w:rPr>
        <w:t xml:space="preserve"> </w:t>
      </w:r>
      <w:r w:rsidRPr="000F430E">
        <w:rPr>
          <w:i/>
          <w:sz w:val="22"/>
          <w:szCs w:val="22"/>
          <w:lang w:val="it-IT"/>
        </w:rPr>
        <w:t>Texas, 8</w:t>
      </w:r>
      <w:r w:rsidR="00F83928" w:rsidRPr="000F430E">
        <w:rPr>
          <w:i/>
          <w:sz w:val="22"/>
          <w:szCs w:val="22"/>
          <w:lang w:val="it-IT"/>
        </w:rPr>
        <w:t xml:space="preserve"> dicembre 2022</w:t>
      </w:r>
      <w:r w:rsidR="00F83928" w:rsidRPr="000F430E">
        <w:rPr>
          <w:sz w:val="22"/>
          <w:szCs w:val="22"/>
          <w:lang w:val="it-IT"/>
        </w:rPr>
        <w:t xml:space="preserve"> - I risultati aggiornati dello studio di fase 3 DESTINY-Breast03 hanno </w:t>
      </w:r>
      <w:r w:rsidRPr="000F430E">
        <w:rPr>
          <w:sz w:val="22"/>
          <w:szCs w:val="22"/>
          <w:lang w:val="it-IT"/>
        </w:rPr>
        <w:t>di</w:t>
      </w:r>
      <w:r w:rsidR="00F83928" w:rsidRPr="000F430E">
        <w:rPr>
          <w:sz w:val="22"/>
          <w:szCs w:val="22"/>
          <w:lang w:val="it-IT"/>
        </w:rPr>
        <w:t>mostrato che trastuzumab deruxtecan</w:t>
      </w:r>
      <w:r w:rsidRPr="000F430E">
        <w:rPr>
          <w:sz w:val="22"/>
          <w:szCs w:val="22"/>
          <w:lang w:val="it-IT"/>
        </w:rPr>
        <w:t xml:space="preserve"> </w:t>
      </w:r>
      <w:r w:rsidR="007F5601" w:rsidRPr="000F430E">
        <w:rPr>
          <w:sz w:val="22"/>
          <w:szCs w:val="22"/>
          <w:lang w:val="it-IT"/>
        </w:rPr>
        <w:t xml:space="preserve">(T-DXd) </w:t>
      </w:r>
      <w:r w:rsidR="00F83928" w:rsidRPr="000F430E">
        <w:rPr>
          <w:sz w:val="22"/>
          <w:szCs w:val="22"/>
          <w:lang w:val="it-IT"/>
        </w:rPr>
        <w:t xml:space="preserve">ha </w:t>
      </w:r>
      <w:r w:rsidR="00A577AA" w:rsidRPr="000F430E">
        <w:rPr>
          <w:sz w:val="22"/>
          <w:szCs w:val="22"/>
          <w:lang w:val="it-IT"/>
        </w:rPr>
        <w:t>portato ad un</w:t>
      </w:r>
      <w:r w:rsidR="00F83928" w:rsidRPr="000F430E">
        <w:rPr>
          <w:sz w:val="22"/>
          <w:szCs w:val="22"/>
          <w:lang w:val="it-IT"/>
        </w:rPr>
        <w:t xml:space="preserve"> miglioramento statisticamente</w:t>
      </w:r>
      <w:r w:rsidRPr="000F430E">
        <w:rPr>
          <w:sz w:val="22"/>
          <w:szCs w:val="22"/>
          <w:lang w:val="it-IT"/>
        </w:rPr>
        <w:t xml:space="preserve"> e clinicamente</w:t>
      </w:r>
      <w:r w:rsidR="00F83928" w:rsidRPr="000F430E">
        <w:rPr>
          <w:sz w:val="22"/>
          <w:szCs w:val="22"/>
          <w:lang w:val="it-IT"/>
        </w:rPr>
        <w:t xml:space="preserve"> significativo della sopravvivenza globale (OS) rispetto a trastuzumab emtansine (T-DM1)</w:t>
      </w:r>
      <w:r w:rsidRPr="000F430E">
        <w:rPr>
          <w:sz w:val="22"/>
          <w:szCs w:val="22"/>
          <w:lang w:val="it-IT"/>
        </w:rPr>
        <w:t>,</w:t>
      </w:r>
      <w:r w:rsidR="00F83928" w:rsidRPr="000F430E">
        <w:rPr>
          <w:sz w:val="22"/>
          <w:szCs w:val="22"/>
          <w:lang w:val="it-IT"/>
        </w:rPr>
        <w:t xml:space="preserve"> in pazienti con carcinoma mammario HER2</w:t>
      </w:r>
      <w:r w:rsidRPr="000F430E">
        <w:rPr>
          <w:sz w:val="22"/>
          <w:szCs w:val="22"/>
          <w:lang w:val="it-IT"/>
        </w:rPr>
        <w:t>-</w:t>
      </w:r>
      <w:r w:rsidR="00F83928" w:rsidRPr="000F430E">
        <w:rPr>
          <w:sz w:val="22"/>
          <w:szCs w:val="22"/>
          <w:lang w:val="it-IT"/>
        </w:rPr>
        <w:t xml:space="preserve">positivo non resecabile e/o metastatico precedentemente trattate con trastuzumab o </w:t>
      </w:r>
      <w:r w:rsidR="007F5601" w:rsidRPr="000F430E">
        <w:rPr>
          <w:sz w:val="22"/>
          <w:szCs w:val="22"/>
          <w:lang w:val="it-IT"/>
        </w:rPr>
        <w:t xml:space="preserve">un </w:t>
      </w:r>
      <w:r w:rsidR="00F83928" w:rsidRPr="000F430E">
        <w:rPr>
          <w:sz w:val="22"/>
          <w:szCs w:val="22"/>
          <w:lang w:val="it-IT"/>
        </w:rPr>
        <w:t xml:space="preserve">taxano. Questi risultati e </w:t>
      </w:r>
      <w:r w:rsidR="00D318CE" w:rsidRPr="000F430E">
        <w:rPr>
          <w:sz w:val="22"/>
          <w:szCs w:val="22"/>
          <w:lang w:val="it-IT"/>
        </w:rPr>
        <w:t>l’analisi primaria</w:t>
      </w:r>
      <w:r w:rsidR="00F83928" w:rsidRPr="000F430E">
        <w:rPr>
          <w:sz w:val="22"/>
          <w:szCs w:val="22"/>
          <w:lang w:val="it-IT"/>
        </w:rPr>
        <w:t xml:space="preserve"> dello studio di fase 3 DESTINY-Breast02 </w:t>
      </w:r>
      <w:r w:rsidRPr="000F430E">
        <w:rPr>
          <w:sz w:val="22"/>
          <w:szCs w:val="22"/>
          <w:lang w:val="it-IT"/>
        </w:rPr>
        <w:t>sono stati presentati</w:t>
      </w:r>
      <w:r w:rsidR="00F83928" w:rsidRPr="000F430E">
        <w:rPr>
          <w:sz w:val="22"/>
          <w:szCs w:val="22"/>
          <w:lang w:val="it-IT"/>
        </w:rPr>
        <w:t xml:space="preserve"> al San Antonio Breast Cancer Symposium (#SABCS), </w:t>
      </w:r>
      <w:r w:rsidR="00A577AA" w:rsidRPr="000F430E">
        <w:rPr>
          <w:sz w:val="22"/>
          <w:szCs w:val="22"/>
          <w:lang w:val="it-IT"/>
        </w:rPr>
        <w:t>e</w:t>
      </w:r>
      <w:r w:rsidR="00F83928" w:rsidRPr="000F430E">
        <w:rPr>
          <w:sz w:val="22"/>
          <w:szCs w:val="22"/>
          <w:lang w:val="it-IT"/>
        </w:rPr>
        <w:t xml:space="preserve"> i </w:t>
      </w:r>
      <w:r w:rsidR="00A577AA" w:rsidRPr="000F430E">
        <w:rPr>
          <w:sz w:val="22"/>
          <w:szCs w:val="22"/>
          <w:lang w:val="it-IT"/>
        </w:rPr>
        <w:t>dati</w:t>
      </w:r>
      <w:r w:rsidR="00F83928" w:rsidRPr="000F430E">
        <w:rPr>
          <w:sz w:val="22"/>
          <w:szCs w:val="22"/>
          <w:lang w:val="it-IT"/>
        </w:rPr>
        <w:t xml:space="preserve"> aggiornati di DESTINY-Breast03 s</w:t>
      </w:r>
      <w:r w:rsidR="00A577AA" w:rsidRPr="000F430E">
        <w:rPr>
          <w:sz w:val="22"/>
          <w:szCs w:val="22"/>
          <w:lang w:val="it-IT"/>
        </w:rPr>
        <w:t>ono</w:t>
      </w:r>
      <w:r w:rsidR="00F83928" w:rsidRPr="000F430E">
        <w:rPr>
          <w:sz w:val="22"/>
          <w:szCs w:val="22"/>
          <w:lang w:val="it-IT"/>
        </w:rPr>
        <w:t xml:space="preserve"> </w:t>
      </w:r>
      <w:r w:rsidR="00A577AA" w:rsidRPr="000F430E">
        <w:rPr>
          <w:sz w:val="22"/>
          <w:szCs w:val="22"/>
          <w:lang w:val="it-IT"/>
        </w:rPr>
        <w:t xml:space="preserve">stati </w:t>
      </w:r>
      <w:r w:rsidR="00F83928" w:rsidRPr="000F430E">
        <w:rPr>
          <w:sz w:val="22"/>
          <w:szCs w:val="22"/>
          <w:lang w:val="it-IT"/>
        </w:rPr>
        <w:t xml:space="preserve">pubblicati contemporaneamente su </w:t>
      </w:r>
      <w:hyperlink r:id="rId8" w:history="1">
        <w:r w:rsidR="00F83928" w:rsidRPr="000F430E">
          <w:rPr>
            <w:rStyle w:val="Collegamentoipertestuale"/>
            <w:rFonts w:asciiTheme="minorHAnsi" w:hAnsiTheme="minorHAnsi" w:cstheme="minorBidi"/>
            <w:i/>
            <w:sz w:val="22"/>
            <w:szCs w:val="22"/>
            <w:lang w:val="it-IT"/>
          </w:rPr>
          <w:t>The Lancet</w:t>
        </w:r>
      </w:hyperlink>
      <w:r w:rsidR="00630D1E" w:rsidRPr="000F430E">
        <w:rPr>
          <w:sz w:val="22"/>
          <w:szCs w:val="22"/>
          <w:lang w:val="it-IT"/>
        </w:rPr>
        <w:t>.</w:t>
      </w:r>
    </w:p>
    <w:p w14:paraId="4E57218C" w14:textId="7FAEE3FA" w:rsidR="00F83928" w:rsidRPr="000F430E" w:rsidRDefault="00F83928" w:rsidP="00F83928">
      <w:pPr>
        <w:jc w:val="both"/>
        <w:rPr>
          <w:sz w:val="22"/>
          <w:szCs w:val="22"/>
          <w:lang w:val="it-IT"/>
        </w:rPr>
      </w:pPr>
    </w:p>
    <w:p w14:paraId="359246E4" w14:textId="5E0C4A1A" w:rsidR="00F83928" w:rsidRPr="000F430E" w:rsidRDefault="00F83928" w:rsidP="00F83928">
      <w:pPr>
        <w:jc w:val="both"/>
        <w:rPr>
          <w:rFonts w:ascii="Arial" w:hAnsi="Arial" w:cs="Arial"/>
          <w:bCs/>
          <w:iCs/>
          <w:sz w:val="22"/>
          <w:szCs w:val="22"/>
          <w:lang w:val="it-IT"/>
        </w:rPr>
      </w:pPr>
      <w:r w:rsidRPr="000F430E">
        <w:rPr>
          <w:rFonts w:ascii="Arial" w:hAnsi="Arial" w:cs="Arial"/>
          <w:sz w:val="22"/>
          <w:szCs w:val="22"/>
          <w:lang w:val="it-IT"/>
        </w:rPr>
        <w:t>Trastuzumab deruxtecan è un anticorpo monoclonale farmaco-coniugato specificamente ingegnerizzato per essere diretto contro il recettore HER2, ed è sviluppato e commercializzato congiuntamente</w:t>
      </w:r>
      <w:r w:rsidRPr="000F430E">
        <w:rPr>
          <w:rFonts w:ascii="Arial" w:hAnsi="Arial" w:cs="Arial"/>
          <w:bCs/>
          <w:iCs/>
          <w:sz w:val="22"/>
          <w:szCs w:val="22"/>
          <w:lang w:val="it-IT"/>
        </w:rPr>
        <w:t xml:space="preserve"> da Daiichi Sankyo e AstraZeneca.</w:t>
      </w:r>
      <w:r w:rsidR="00D318CE" w:rsidRPr="000F430E">
        <w:rPr>
          <w:rFonts w:ascii="Arial" w:hAnsi="Arial" w:cs="Arial"/>
          <w:bCs/>
          <w:iCs/>
          <w:sz w:val="22"/>
          <w:szCs w:val="22"/>
          <w:lang w:val="it-IT"/>
        </w:rPr>
        <w:t xml:space="preserve"> </w:t>
      </w:r>
    </w:p>
    <w:p w14:paraId="565D20AA" w14:textId="77777777" w:rsidR="00F83928" w:rsidRPr="000F430E" w:rsidRDefault="00F83928" w:rsidP="006137F2">
      <w:pPr>
        <w:rPr>
          <w:color w:val="0070C0"/>
          <w:sz w:val="22"/>
          <w:szCs w:val="22"/>
          <w:lang w:val="it-IT"/>
        </w:rPr>
      </w:pPr>
      <w:bookmarkStart w:id="0" w:name="_Hlk66364940"/>
    </w:p>
    <w:p w14:paraId="6F8D433D" w14:textId="434963ED" w:rsidR="00F83928" w:rsidRPr="000F430E" w:rsidRDefault="00F83928" w:rsidP="00F83928">
      <w:pPr>
        <w:jc w:val="both"/>
        <w:rPr>
          <w:sz w:val="22"/>
          <w:szCs w:val="22"/>
          <w:lang w:val="it-IT"/>
        </w:rPr>
      </w:pPr>
      <w:r w:rsidRPr="000F430E">
        <w:rPr>
          <w:sz w:val="22"/>
          <w:szCs w:val="22"/>
          <w:lang w:val="it-IT"/>
        </w:rPr>
        <w:t xml:space="preserve">Nell'analisi dell'endpoint secondario </w:t>
      </w:r>
      <w:r w:rsidR="00D318CE" w:rsidRPr="000F430E">
        <w:rPr>
          <w:sz w:val="22"/>
          <w:szCs w:val="22"/>
          <w:lang w:val="it-IT"/>
        </w:rPr>
        <w:t xml:space="preserve">chiave </w:t>
      </w:r>
      <w:r w:rsidR="00A577AA" w:rsidRPr="000F430E">
        <w:rPr>
          <w:sz w:val="22"/>
          <w:szCs w:val="22"/>
          <w:lang w:val="it-IT"/>
        </w:rPr>
        <w:t>di</w:t>
      </w:r>
      <w:r w:rsidRPr="000F430E">
        <w:rPr>
          <w:sz w:val="22"/>
          <w:szCs w:val="22"/>
          <w:lang w:val="it-IT"/>
        </w:rPr>
        <w:t xml:space="preserve"> </w:t>
      </w:r>
      <w:r w:rsidRPr="000F430E">
        <w:rPr>
          <w:b/>
          <w:sz w:val="22"/>
          <w:szCs w:val="22"/>
          <w:lang w:val="it-IT"/>
        </w:rPr>
        <w:t>DESTINY-Breast03,</w:t>
      </w:r>
      <w:r w:rsidRPr="000F430E">
        <w:rPr>
          <w:sz w:val="22"/>
          <w:szCs w:val="22"/>
          <w:lang w:val="it-IT"/>
        </w:rPr>
        <w:t xml:space="preserve"> </w:t>
      </w:r>
      <w:r w:rsidR="00F33E87" w:rsidRPr="000F430E">
        <w:rPr>
          <w:sz w:val="22"/>
          <w:szCs w:val="22"/>
          <w:lang w:val="it-IT"/>
        </w:rPr>
        <w:t>trastuzumab deruxtecan</w:t>
      </w:r>
      <w:r w:rsidRPr="000F430E">
        <w:rPr>
          <w:sz w:val="22"/>
          <w:szCs w:val="22"/>
          <w:lang w:val="it-IT"/>
        </w:rPr>
        <w:t xml:space="preserve"> ha dimostrato </w:t>
      </w:r>
      <w:r w:rsidR="00E43CCE" w:rsidRPr="000F430E">
        <w:rPr>
          <w:sz w:val="22"/>
          <w:szCs w:val="22"/>
          <w:lang w:val="it-IT"/>
        </w:rPr>
        <w:t>una riduzione</w:t>
      </w:r>
      <w:r w:rsidRPr="000F430E">
        <w:rPr>
          <w:b/>
          <w:sz w:val="22"/>
          <w:szCs w:val="22"/>
          <w:lang w:val="it-IT"/>
        </w:rPr>
        <w:t xml:space="preserve"> del 36%</w:t>
      </w:r>
      <w:r w:rsidR="00630D1E" w:rsidRPr="000F430E">
        <w:rPr>
          <w:b/>
          <w:sz w:val="22"/>
          <w:szCs w:val="22"/>
          <w:lang w:val="it-IT"/>
        </w:rPr>
        <w:t xml:space="preserve"> del rischio di morte</w:t>
      </w:r>
      <w:r w:rsidRPr="000F430E">
        <w:rPr>
          <w:sz w:val="22"/>
          <w:szCs w:val="22"/>
          <w:lang w:val="it-IT"/>
        </w:rPr>
        <w:t xml:space="preserve"> rispetto a T-DM1 (hazard ratio [HR]: 0,64; intervallo di confidenza [</w:t>
      </w:r>
      <w:r w:rsidR="007F5601" w:rsidRPr="000F430E">
        <w:rPr>
          <w:sz w:val="22"/>
          <w:szCs w:val="22"/>
          <w:lang w:val="it-IT"/>
        </w:rPr>
        <w:t>IC</w:t>
      </w:r>
      <w:r w:rsidRPr="000F430E">
        <w:rPr>
          <w:sz w:val="22"/>
          <w:szCs w:val="22"/>
          <w:lang w:val="it-IT"/>
        </w:rPr>
        <w:t>] al 95% 0,47-0,87; p=0,0037). In entrambi i bracci di trattamento, la</w:t>
      </w:r>
      <w:r w:rsidR="00630D1E" w:rsidRPr="000F430E">
        <w:rPr>
          <w:sz w:val="22"/>
          <w:szCs w:val="22"/>
          <w:lang w:val="it-IT"/>
        </w:rPr>
        <w:t xml:space="preserve"> sopravvivenza globale</w:t>
      </w:r>
      <w:r w:rsidRPr="000F430E">
        <w:rPr>
          <w:sz w:val="22"/>
          <w:szCs w:val="22"/>
          <w:lang w:val="it-IT"/>
        </w:rPr>
        <w:t xml:space="preserve"> </w:t>
      </w:r>
      <w:r w:rsidR="00630D1E" w:rsidRPr="000F430E">
        <w:rPr>
          <w:sz w:val="22"/>
          <w:szCs w:val="22"/>
          <w:lang w:val="it-IT"/>
        </w:rPr>
        <w:t>(</w:t>
      </w:r>
      <w:r w:rsidRPr="000F430E">
        <w:rPr>
          <w:sz w:val="22"/>
          <w:szCs w:val="22"/>
          <w:lang w:val="it-IT"/>
        </w:rPr>
        <w:t>OS</w:t>
      </w:r>
      <w:r w:rsidR="00630D1E" w:rsidRPr="000F430E">
        <w:rPr>
          <w:sz w:val="22"/>
          <w:szCs w:val="22"/>
          <w:lang w:val="it-IT"/>
        </w:rPr>
        <w:t>)</w:t>
      </w:r>
      <w:r w:rsidRPr="000F430E">
        <w:rPr>
          <w:sz w:val="22"/>
          <w:szCs w:val="22"/>
          <w:lang w:val="it-IT"/>
        </w:rPr>
        <w:t xml:space="preserve"> mediana non è stata ancora raggiunta (</w:t>
      </w:r>
      <w:r w:rsidR="00F33E87" w:rsidRPr="000F430E">
        <w:rPr>
          <w:sz w:val="22"/>
          <w:szCs w:val="22"/>
          <w:lang w:val="it-IT"/>
        </w:rPr>
        <w:t>T-DXd</w:t>
      </w:r>
      <w:r w:rsidRPr="000F430E">
        <w:rPr>
          <w:sz w:val="22"/>
          <w:szCs w:val="22"/>
          <w:lang w:val="it-IT"/>
        </w:rPr>
        <w:t xml:space="preserve"> [40,5-NE] versus T-DM1 [34,0-NE])</w:t>
      </w:r>
      <w:r w:rsidR="00630D1E" w:rsidRPr="000F430E">
        <w:rPr>
          <w:sz w:val="22"/>
          <w:szCs w:val="22"/>
          <w:lang w:val="it-IT"/>
        </w:rPr>
        <w:t xml:space="preserve">, dopo una durata mediana di follow-up di 28,4 mesi per trastuzumab deruxtecan e 26,5 mesi per T-DM1. </w:t>
      </w:r>
      <w:r w:rsidRPr="000F430E">
        <w:rPr>
          <w:sz w:val="22"/>
          <w:szCs w:val="22"/>
          <w:lang w:val="it-IT"/>
        </w:rPr>
        <w:t xml:space="preserve">Nel braccio </w:t>
      </w:r>
      <w:r w:rsidR="005513A8" w:rsidRPr="000F430E">
        <w:rPr>
          <w:b/>
          <w:sz w:val="22"/>
          <w:szCs w:val="22"/>
          <w:lang w:val="it-IT"/>
        </w:rPr>
        <w:t>trastuzumab deruxte</w:t>
      </w:r>
      <w:r w:rsidR="005513A8" w:rsidRPr="0033131B">
        <w:rPr>
          <w:b/>
          <w:sz w:val="22"/>
          <w:szCs w:val="22"/>
          <w:lang w:val="it-IT"/>
        </w:rPr>
        <w:t>can</w:t>
      </w:r>
      <w:r w:rsidRPr="000F430E">
        <w:rPr>
          <w:sz w:val="22"/>
          <w:szCs w:val="22"/>
          <w:lang w:val="it-IT"/>
        </w:rPr>
        <w:t xml:space="preserve">, circa il </w:t>
      </w:r>
      <w:r w:rsidR="00433A9C" w:rsidRPr="000F430E">
        <w:rPr>
          <w:b/>
          <w:sz w:val="22"/>
          <w:szCs w:val="22"/>
          <w:lang w:val="it-IT"/>
        </w:rPr>
        <w:t>77</w:t>
      </w:r>
      <w:r w:rsidRPr="000F430E">
        <w:rPr>
          <w:b/>
          <w:sz w:val="22"/>
          <w:szCs w:val="22"/>
          <w:lang w:val="it-IT"/>
        </w:rPr>
        <w:t>,</w:t>
      </w:r>
      <w:r w:rsidR="00433A9C" w:rsidRPr="000F430E">
        <w:rPr>
          <w:b/>
          <w:sz w:val="22"/>
          <w:szCs w:val="22"/>
          <w:lang w:val="it-IT"/>
        </w:rPr>
        <w:t>4</w:t>
      </w:r>
      <w:r w:rsidRPr="000F430E">
        <w:rPr>
          <w:b/>
          <w:sz w:val="22"/>
          <w:szCs w:val="22"/>
          <w:lang w:val="it-IT"/>
        </w:rPr>
        <w:t>% de</w:t>
      </w:r>
      <w:r w:rsidR="005513A8" w:rsidRPr="000F430E">
        <w:rPr>
          <w:b/>
          <w:sz w:val="22"/>
          <w:szCs w:val="22"/>
          <w:lang w:val="it-IT"/>
        </w:rPr>
        <w:t>lle</w:t>
      </w:r>
      <w:r w:rsidRPr="000F430E">
        <w:rPr>
          <w:b/>
          <w:sz w:val="22"/>
          <w:szCs w:val="22"/>
          <w:lang w:val="it-IT"/>
        </w:rPr>
        <w:t xml:space="preserve"> pazienti era vivo a </w:t>
      </w:r>
      <w:r w:rsidR="00433A9C" w:rsidRPr="000F430E">
        <w:rPr>
          <w:b/>
          <w:sz w:val="22"/>
          <w:szCs w:val="22"/>
          <w:lang w:val="it-IT"/>
        </w:rPr>
        <w:t>due</w:t>
      </w:r>
      <w:r w:rsidRPr="000F430E">
        <w:rPr>
          <w:b/>
          <w:sz w:val="22"/>
          <w:szCs w:val="22"/>
          <w:lang w:val="it-IT"/>
        </w:rPr>
        <w:t xml:space="preserve"> anni</w:t>
      </w:r>
      <w:r w:rsidR="00433A9C" w:rsidRPr="000F430E">
        <w:rPr>
          <w:sz w:val="22"/>
          <w:szCs w:val="22"/>
          <w:lang w:val="it-IT"/>
        </w:rPr>
        <w:t xml:space="preserve"> (</w:t>
      </w:r>
      <w:r w:rsidR="007672EE" w:rsidRPr="000F430E">
        <w:rPr>
          <w:sz w:val="22"/>
          <w:szCs w:val="22"/>
          <w:lang w:val="it-IT"/>
        </w:rPr>
        <w:t xml:space="preserve">IC al </w:t>
      </w:r>
      <w:r w:rsidR="00433A9C" w:rsidRPr="000F430E">
        <w:rPr>
          <w:sz w:val="22"/>
          <w:szCs w:val="22"/>
          <w:lang w:val="it-IT"/>
        </w:rPr>
        <w:t xml:space="preserve">95%: 71,7-81,2) </w:t>
      </w:r>
      <w:r w:rsidRPr="000F430E">
        <w:rPr>
          <w:sz w:val="22"/>
          <w:szCs w:val="22"/>
          <w:lang w:val="it-IT"/>
        </w:rPr>
        <w:t xml:space="preserve">rispetto </w:t>
      </w:r>
      <w:r w:rsidRPr="000F430E">
        <w:rPr>
          <w:b/>
          <w:sz w:val="22"/>
          <w:szCs w:val="22"/>
          <w:lang w:val="it-IT"/>
        </w:rPr>
        <w:t xml:space="preserve">al </w:t>
      </w:r>
      <w:r w:rsidR="00433A9C" w:rsidRPr="000F430E">
        <w:rPr>
          <w:b/>
          <w:sz w:val="22"/>
          <w:szCs w:val="22"/>
          <w:lang w:val="it-IT"/>
        </w:rPr>
        <w:t>69</w:t>
      </w:r>
      <w:r w:rsidRPr="000F430E">
        <w:rPr>
          <w:b/>
          <w:sz w:val="22"/>
          <w:szCs w:val="22"/>
          <w:lang w:val="it-IT"/>
        </w:rPr>
        <w:t>,</w:t>
      </w:r>
      <w:r w:rsidR="00433A9C" w:rsidRPr="000F430E">
        <w:rPr>
          <w:b/>
          <w:sz w:val="22"/>
          <w:szCs w:val="22"/>
          <w:lang w:val="it-IT"/>
        </w:rPr>
        <w:t>9</w:t>
      </w:r>
      <w:r w:rsidRPr="000F430E">
        <w:rPr>
          <w:b/>
          <w:sz w:val="22"/>
          <w:szCs w:val="22"/>
          <w:lang w:val="it-IT"/>
        </w:rPr>
        <w:t>% de</w:t>
      </w:r>
      <w:r w:rsidR="005513A8" w:rsidRPr="000F430E">
        <w:rPr>
          <w:b/>
          <w:sz w:val="22"/>
          <w:szCs w:val="22"/>
          <w:lang w:val="it-IT"/>
        </w:rPr>
        <w:t>lle</w:t>
      </w:r>
      <w:r w:rsidRPr="000F430E">
        <w:rPr>
          <w:b/>
          <w:sz w:val="22"/>
          <w:szCs w:val="22"/>
          <w:lang w:val="it-IT"/>
        </w:rPr>
        <w:t xml:space="preserve"> pazienti trattat</w:t>
      </w:r>
      <w:r w:rsidR="005513A8" w:rsidRPr="000F430E">
        <w:rPr>
          <w:b/>
          <w:sz w:val="22"/>
          <w:szCs w:val="22"/>
          <w:lang w:val="it-IT"/>
        </w:rPr>
        <w:t>e</w:t>
      </w:r>
      <w:r w:rsidRPr="000F430E">
        <w:rPr>
          <w:b/>
          <w:sz w:val="22"/>
          <w:szCs w:val="22"/>
          <w:lang w:val="it-IT"/>
        </w:rPr>
        <w:t xml:space="preserve"> con T-DM1</w:t>
      </w:r>
      <w:r w:rsidR="00433A9C" w:rsidRPr="000F430E">
        <w:rPr>
          <w:sz w:val="22"/>
          <w:szCs w:val="22"/>
          <w:lang w:val="it-IT"/>
        </w:rPr>
        <w:t xml:space="preserve"> (</w:t>
      </w:r>
      <w:r w:rsidR="007672EE" w:rsidRPr="000F430E">
        <w:rPr>
          <w:sz w:val="22"/>
          <w:szCs w:val="22"/>
          <w:lang w:val="it-IT"/>
        </w:rPr>
        <w:t xml:space="preserve">IC al </w:t>
      </w:r>
      <w:r w:rsidR="00433A9C" w:rsidRPr="000F430E">
        <w:rPr>
          <w:sz w:val="22"/>
          <w:szCs w:val="22"/>
          <w:lang w:val="it-IT"/>
        </w:rPr>
        <w:t>95%: 63,7-75,2)</w:t>
      </w:r>
      <w:r w:rsidRPr="000F430E">
        <w:rPr>
          <w:sz w:val="22"/>
          <w:szCs w:val="22"/>
          <w:lang w:val="it-IT"/>
        </w:rPr>
        <w:t xml:space="preserve">. Il beneficio in termini di sopravvivenza è </w:t>
      </w:r>
      <w:r w:rsidR="00E43CCE" w:rsidRPr="000F430E">
        <w:rPr>
          <w:sz w:val="22"/>
          <w:szCs w:val="22"/>
          <w:lang w:val="it-IT"/>
        </w:rPr>
        <w:t>risultato consistente</w:t>
      </w:r>
      <w:r w:rsidR="00D318CE" w:rsidRPr="000F430E">
        <w:rPr>
          <w:sz w:val="22"/>
          <w:szCs w:val="22"/>
          <w:lang w:val="it-IT"/>
        </w:rPr>
        <w:t xml:space="preserve"> </w:t>
      </w:r>
      <w:r w:rsidRPr="000F430E">
        <w:rPr>
          <w:sz w:val="22"/>
          <w:szCs w:val="22"/>
          <w:lang w:val="it-IT"/>
        </w:rPr>
        <w:t>in tutti i sottogruppi</w:t>
      </w:r>
      <w:r w:rsidR="00433A9C" w:rsidRPr="000F430E">
        <w:rPr>
          <w:sz w:val="22"/>
          <w:szCs w:val="22"/>
          <w:lang w:val="it-IT"/>
        </w:rPr>
        <w:t xml:space="preserve"> analizzati</w:t>
      </w:r>
      <w:r w:rsidRPr="000F430E">
        <w:rPr>
          <w:sz w:val="22"/>
          <w:szCs w:val="22"/>
          <w:lang w:val="it-IT"/>
        </w:rPr>
        <w:t>, compres</w:t>
      </w:r>
      <w:r w:rsidR="005513A8" w:rsidRPr="000F430E">
        <w:rPr>
          <w:sz w:val="22"/>
          <w:szCs w:val="22"/>
          <w:lang w:val="it-IT"/>
        </w:rPr>
        <w:t>e le</w:t>
      </w:r>
      <w:r w:rsidRPr="000F430E">
        <w:rPr>
          <w:sz w:val="22"/>
          <w:szCs w:val="22"/>
          <w:lang w:val="it-IT"/>
        </w:rPr>
        <w:t xml:space="preserve"> pazienti con e senza metastasi cerebrali al basale, con </w:t>
      </w:r>
      <w:r w:rsidR="00433A9C" w:rsidRPr="000F430E">
        <w:rPr>
          <w:sz w:val="22"/>
          <w:szCs w:val="22"/>
          <w:lang w:val="it-IT"/>
        </w:rPr>
        <w:t>e</w:t>
      </w:r>
      <w:r w:rsidRPr="000F430E">
        <w:rPr>
          <w:sz w:val="22"/>
          <w:szCs w:val="22"/>
          <w:lang w:val="it-IT"/>
        </w:rPr>
        <w:t xml:space="preserve"> senza malattia viscerale, positiv</w:t>
      </w:r>
      <w:r w:rsidR="005513A8" w:rsidRPr="000F430E">
        <w:rPr>
          <w:sz w:val="22"/>
          <w:szCs w:val="22"/>
          <w:lang w:val="it-IT"/>
        </w:rPr>
        <w:t>e</w:t>
      </w:r>
      <w:r w:rsidR="00A577AA" w:rsidRPr="000F430E">
        <w:rPr>
          <w:sz w:val="22"/>
          <w:szCs w:val="22"/>
          <w:lang w:val="it-IT"/>
        </w:rPr>
        <w:t xml:space="preserve"> o negative</w:t>
      </w:r>
      <w:r w:rsidR="005513A8" w:rsidRPr="000F430E">
        <w:rPr>
          <w:sz w:val="22"/>
          <w:szCs w:val="22"/>
          <w:lang w:val="it-IT"/>
        </w:rPr>
        <w:t xml:space="preserve"> </w:t>
      </w:r>
      <w:r w:rsidRPr="000F430E">
        <w:rPr>
          <w:sz w:val="22"/>
          <w:szCs w:val="22"/>
          <w:lang w:val="it-IT"/>
        </w:rPr>
        <w:t>al recettore ormonale (HR)</w:t>
      </w:r>
      <w:r w:rsidR="005513A8" w:rsidRPr="000F430E">
        <w:rPr>
          <w:sz w:val="22"/>
          <w:szCs w:val="22"/>
          <w:lang w:val="it-IT"/>
        </w:rPr>
        <w:t>,</w:t>
      </w:r>
      <w:r w:rsidRPr="000F430E">
        <w:rPr>
          <w:sz w:val="22"/>
          <w:szCs w:val="22"/>
          <w:lang w:val="it-IT"/>
        </w:rPr>
        <w:t xml:space="preserve"> indipendentemente dal precedente t</w:t>
      </w:r>
      <w:r w:rsidR="005513A8" w:rsidRPr="000F430E">
        <w:rPr>
          <w:sz w:val="22"/>
          <w:szCs w:val="22"/>
          <w:lang w:val="it-IT"/>
        </w:rPr>
        <w:t>rattamento</w:t>
      </w:r>
      <w:r w:rsidRPr="000F430E">
        <w:rPr>
          <w:sz w:val="22"/>
          <w:szCs w:val="22"/>
          <w:lang w:val="it-IT"/>
        </w:rPr>
        <w:t xml:space="preserve"> con pertuzumab o</w:t>
      </w:r>
      <w:r w:rsidR="005513A8" w:rsidRPr="000F430E">
        <w:rPr>
          <w:sz w:val="22"/>
          <w:szCs w:val="22"/>
          <w:lang w:val="it-IT"/>
        </w:rPr>
        <w:t xml:space="preserve"> </w:t>
      </w:r>
      <w:r w:rsidR="00CB230D" w:rsidRPr="000F430E">
        <w:rPr>
          <w:sz w:val="22"/>
          <w:szCs w:val="22"/>
          <w:lang w:val="it-IT"/>
        </w:rPr>
        <w:t xml:space="preserve">con </w:t>
      </w:r>
      <w:r w:rsidR="005513A8" w:rsidRPr="000F430E">
        <w:rPr>
          <w:sz w:val="22"/>
          <w:szCs w:val="22"/>
          <w:lang w:val="it-IT"/>
        </w:rPr>
        <w:t>terapia</w:t>
      </w:r>
      <w:r w:rsidRPr="000F430E">
        <w:rPr>
          <w:sz w:val="22"/>
          <w:szCs w:val="22"/>
          <w:lang w:val="it-IT"/>
        </w:rPr>
        <w:t xml:space="preserve"> sistemica.</w:t>
      </w:r>
    </w:p>
    <w:p w14:paraId="085E067D" w14:textId="77777777" w:rsidR="00433A9C" w:rsidRPr="000F430E" w:rsidRDefault="00433A9C" w:rsidP="00F83928">
      <w:pPr>
        <w:jc w:val="both"/>
        <w:rPr>
          <w:sz w:val="22"/>
          <w:szCs w:val="22"/>
          <w:lang w:val="it-IT"/>
        </w:rPr>
      </w:pPr>
    </w:p>
    <w:p w14:paraId="62AE5BD7" w14:textId="7750A625" w:rsidR="0048266C" w:rsidRPr="000F430E" w:rsidRDefault="0048266C" w:rsidP="0048266C">
      <w:pPr>
        <w:jc w:val="both"/>
        <w:rPr>
          <w:i/>
          <w:iCs/>
          <w:sz w:val="22"/>
          <w:szCs w:val="22"/>
          <w:lang w:val="it-IT" w:eastAsia="ja-JP"/>
        </w:rPr>
      </w:pPr>
      <w:r w:rsidRPr="000F430E">
        <w:rPr>
          <w:sz w:val="22"/>
          <w:szCs w:val="22"/>
          <w:lang w:val="it-IT" w:eastAsia="ja-JP"/>
        </w:rPr>
        <w:t>“</w:t>
      </w:r>
      <w:r w:rsidRPr="000F430E">
        <w:rPr>
          <w:i/>
          <w:iCs/>
          <w:sz w:val="22"/>
          <w:szCs w:val="22"/>
          <w:lang w:val="it-IT" w:eastAsia="ja-JP"/>
        </w:rPr>
        <w:t>Le pazienti con carcinoma mammario metastatico HER2 positivo</w:t>
      </w:r>
      <w:r w:rsidR="00826B02">
        <w:rPr>
          <w:i/>
          <w:iCs/>
          <w:sz w:val="22"/>
          <w:szCs w:val="22"/>
          <w:lang w:val="it-IT" w:eastAsia="ja-JP"/>
        </w:rPr>
        <w:t>,</w:t>
      </w:r>
      <w:r w:rsidRPr="000F430E">
        <w:rPr>
          <w:i/>
          <w:iCs/>
          <w:sz w:val="22"/>
          <w:szCs w:val="22"/>
          <w:lang w:val="it-IT" w:eastAsia="ja-JP"/>
        </w:rPr>
        <w:t xml:space="preserve"> sottoposte a precedenti terapie, nella maggioranza dei casi vanno incontro a una progressione della malattia in meno di un anno </w:t>
      </w:r>
      <w:r w:rsidRPr="000F430E">
        <w:rPr>
          <w:sz w:val="22"/>
          <w:szCs w:val="22"/>
          <w:lang w:val="it-IT" w:eastAsia="ja-JP"/>
        </w:rPr>
        <w:t xml:space="preserve">– spiega </w:t>
      </w:r>
      <w:r w:rsidRPr="000F430E">
        <w:rPr>
          <w:b/>
          <w:bCs/>
          <w:sz w:val="22"/>
          <w:szCs w:val="22"/>
          <w:lang w:val="it-IT" w:eastAsia="ja-JP"/>
        </w:rPr>
        <w:t>Giuseppe Curigliano</w:t>
      </w:r>
      <w:r w:rsidRPr="000F430E">
        <w:rPr>
          <w:sz w:val="22"/>
          <w:szCs w:val="22"/>
          <w:lang w:val="it-IT" w:eastAsia="ja-JP"/>
        </w:rPr>
        <w:t xml:space="preserve">, Professore di Oncologia Medica all’Università di Milano e Direttore Divisione Sviluppo di Nuovi Farmaci per Terapie Innovative all’Istituto Europeo di Oncologia di Milano -. </w:t>
      </w:r>
      <w:r w:rsidRPr="000F430E">
        <w:rPr>
          <w:i/>
          <w:iCs/>
          <w:sz w:val="22"/>
          <w:szCs w:val="22"/>
          <w:lang w:val="it-IT" w:eastAsia="ja-JP"/>
        </w:rPr>
        <w:t xml:space="preserve">È notevole e </w:t>
      </w:r>
      <w:r w:rsidRPr="000F430E">
        <w:rPr>
          <w:i/>
          <w:iCs/>
          <w:sz w:val="22"/>
          <w:szCs w:val="22"/>
          <w:lang w:val="it-IT" w:eastAsia="ja-JP"/>
        </w:rPr>
        <w:lastRenderedPageBreak/>
        <w:t>consistente il beneficio riscontrato in tutti gli endpoint chiave di efficacia nei pazienti che hanno ricevuto trastuzumab deruxtecan in DESTINY-Breast03, uno studio che ha incluso 524 pazienti con carcinoma mammario HER2-positivo metastatico precedentemente trattato con trastuzumab e chemioterapia. Trastuzumab deruxtecan ha significativamente ridotto il rischio di morte rispetto a trastuzumab emtansine (T-DM1), un altro anticorpo coniugato anti HER2 e precedente standard di cura. Questo vantaggio è stato osservato anche nelle donne con metastasi cerebrali.  Non solo. La superiorità di trastuzumab deruxtecan è emersa inoltre in termini di risposte obiettive e di controllo di malattia”.</w:t>
      </w:r>
    </w:p>
    <w:p w14:paraId="6DC37932" w14:textId="77777777" w:rsidR="00F83928" w:rsidRPr="000F430E" w:rsidRDefault="00F83928" w:rsidP="00F83928">
      <w:pPr>
        <w:rPr>
          <w:color w:val="0070C0"/>
          <w:sz w:val="22"/>
          <w:szCs w:val="22"/>
          <w:lang w:val="it-IT"/>
        </w:rPr>
      </w:pPr>
    </w:p>
    <w:p w14:paraId="4A1EC95A" w14:textId="6C02C051" w:rsidR="00474834" w:rsidRPr="000F430E" w:rsidRDefault="00F83928" w:rsidP="005513A8">
      <w:pPr>
        <w:jc w:val="both"/>
        <w:rPr>
          <w:color w:val="0070C0"/>
          <w:sz w:val="22"/>
          <w:szCs w:val="22"/>
          <w:shd w:val="clear" w:color="auto" w:fill="FFFFFF"/>
          <w:lang w:val="it-IT"/>
        </w:rPr>
      </w:pPr>
      <w:r w:rsidRPr="000F430E">
        <w:rPr>
          <w:sz w:val="22"/>
          <w:szCs w:val="22"/>
          <w:shd w:val="clear" w:color="auto" w:fill="FFFFFF"/>
          <w:lang w:val="it-IT"/>
        </w:rPr>
        <w:t xml:space="preserve">Con il follow-up aggiuntivo in DESTINY-Breast03, </w:t>
      </w:r>
      <w:r w:rsidR="005513A8" w:rsidRPr="000F430E">
        <w:rPr>
          <w:sz w:val="22"/>
          <w:szCs w:val="22"/>
          <w:shd w:val="clear" w:color="auto" w:fill="FFFFFF"/>
          <w:lang w:val="it-IT"/>
        </w:rPr>
        <w:t>trastuzumab deruxtecan</w:t>
      </w:r>
      <w:r w:rsidR="00433A9C" w:rsidRPr="000F430E">
        <w:rPr>
          <w:sz w:val="22"/>
          <w:szCs w:val="22"/>
          <w:shd w:val="clear" w:color="auto" w:fill="FFFFFF"/>
          <w:lang w:val="it-IT"/>
        </w:rPr>
        <w:t xml:space="preserve"> ha</w:t>
      </w:r>
      <w:r w:rsidRPr="000F430E">
        <w:rPr>
          <w:sz w:val="22"/>
          <w:szCs w:val="22"/>
          <w:shd w:val="clear" w:color="auto" w:fill="FFFFFF"/>
          <w:lang w:val="it-IT"/>
        </w:rPr>
        <w:t xml:space="preserve"> continua</w:t>
      </w:r>
      <w:r w:rsidR="00433A9C" w:rsidRPr="000F430E">
        <w:rPr>
          <w:sz w:val="22"/>
          <w:szCs w:val="22"/>
          <w:shd w:val="clear" w:color="auto" w:fill="FFFFFF"/>
          <w:lang w:val="it-IT"/>
        </w:rPr>
        <w:t>to</w:t>
      </w:r>
      <w:r w:rsidRPr="000F430E">
        <w:rPr>
          <w:sz w:val="22"/>
          <w:szCs w:val="22"/>
          <w:shd w:val="clear" w:color="auto" w:fill="FFFFFF"/>
          <w:lang w:val="it-IT"/>
        </w:rPr>
        <w:t xml:space="preserve"> a dimostrare un miglioramento clinicamente significativo della sopravvivenza libera da progressione (PFS), con un </w:t>
      </w:r>
      <w:r w:rsidRPr="000F430E">
        <w:rPr>
          <w:b/>
          <w:sz w:val="22"/>
          <w:szCs w:val="22"/>
          <w:shd w:val="clear" w:color="auto" w:fill="FFFFFF"/>
          <w:lang w:val="it-IT"/>
        </w:rPr>
        <w:t xml:space="preserve">miglioramento </w:t>
      </w:r>
      <w:r w:rsidR="00911D51" w:rsidRPr="000F430E">
        <w:rPr>
          <w:sz w:val="22"/>
          <w:szCs w:val="22"/>
          <w:shd w:val="clear" w:color="auto" w:fill="FFFFFF"/>
          <w:lang w:val="it-IT"/>
        </w:rPr>
        <w:t xml:space="preserve">della PFS mediana </w:t>
      </w:r>
      <w:r w:rsidRPr="000F430E">
        <w:rPr>
          <w:b/>
          <w:sz w:val="22"/>
          <w:szCs w:val="22"/>
          <w:shd w:val="clear" w:color="auto" w:fill="FFFFFF"/>
          <w:lang w:val="it-IT"/>
        </w:rPr>
        <w:t>di 22 mesi</w:t>
      </w:r>
      <w:r w:rsidRPr="000F430E">
        <w:rPr>
          <w:sz w:val="22"/>
          <w:szCs w:val="22"/>
          <w:shd w:val="clear" w:color="auto" w:fill="FFFFFF"/>
          <w:lang w:val="it-IT"/>
        </w:rPr>
        <w:t xml:space="preserve"> rispetto a T-DM1</w:t>
      </w:r>
      <w:r w:rsidR="00433A9C" w:rsidRPr="000F430E">
        <w:rPr>
          <w:sz w:val="22"/>
          <w:szCs w:val="22"/>
          <w:shd w:val="clear" w:color="auto" w:fill="FFFFFF"/>
          <w:lang w:val="it-IT"/>
        </w:rPr>
        <w:t>, riaffermando il risultato statisticamente significativo della precedente analisi ad interim. L'analisi esplorativa aggiornata non è stata testata per la significatività statistica e</w:t>
      </w:r>
      <w:r w:rsidR="00E43CCE" w:rsidRPr="000F430E">
        <w:rPr>
          <w:sz w:val="22"/>
          <w:szCs w:val="22"/>
          <w:shd w:val="clear" w:color="auto" w:fill="FFFFFF"/>
          <w:lang w:val="it-IT"/>
        </w:rPr>
        <w:t xml:space="preserve"> la forza statistica</w:t>
      </w:r>
      <w:r w:rsidR="00433A9C" w:rsidRPr="000F430E">
        <w:rPr>
          <w:sz w:val="22"/>
          <w:szCs w:val="22"/>
          <w:shd w:val="clear" w:color="auto" w:fill="FFFFFF"/>
          <w:lang w:val="it-IT"/>
        </w:rPr>
        <w:t xml:space="preserve"> non è stata </w:t>
      </w:r>
      <w:r w:rsidR="00E43CCE" w:rsidRPr="000F430E">
        <w:rPr>
          <w:sz w:val="22"/>
          <w:szCs w:val="22"/>
          <w:shd w:val="clear" w:color="auto" w:fill="FFFFFF"/>
          <w:lang w:val="it-IT"/>
        </w:rPr>
        <w:t xml:space="preserve">calcolata </w:t>
      </w:r>
      <w:r w:rsidR="00433A9C" w:rsidRPr="000F430E">
        <w:rPr>
          <w:sz w:val="22"/>
          <w:szCs w:val="22"/>
          <w:shd w:val="clear" w:color="auto" w:fill="FFFFFF"/>
          <w:lang w:val="it-IT"/>
        </w:rPr>
        <w:t>per mostrare differenze tra i bracci di trattamento</w:t>
      </w:r>
      <w:r w:rsidRPr="000F430E">
        <w:rPr>
          <w:sz w:val="22"/>
          <w:szCs w:val="22"/>
          <w:shd w:val="clear" w:color="auto" w:fill="FFFFFF"/>
          <w:lang w:val="it-IT"/>
        </w:rPr>
        <w:t xml:space="preserve">. La PFS mediana per le pazienti trattate con </w:t>
      </w:r>
      <w:r w:rsidR="005513A8" w:rsidRPr="000F430E">
        <w:rPr>
          <w:sz w:val="22"/>
          <w:szCs w:val="22"/>
          <w:shd w:val="clear" w:color="auto" w:fill="FFFFFF"/>
          <w:lang w:val="it-IT"/>
        </w:rPr>
        <w:t>T-DXd</w:t>
      </w:r>
      <w:r w:rsidRPr="000F430E">
        <w:rPr>
          <w:sz w:val="22"/>
          <w:szCs w:val="22"/>
          <w:shd w:val="clear" w:color="auto" w:fill="FFFFFF"/>
          <w:lang w:val="it-IT"/>
        </w:rPr>
        <w:t xml:space="preserve"> è stata di 28,8 mesi</w:t>
      </w:r>
      <w:r w:rsidR="00433A9C" w:rsidRPr="000F430E">
        <w:rPr>
          <w:sz w:val="22"/>
          <w:szCs w:val="22"/>
          <w:shd w:val="clear" w:color="auto" w:fill="FFFFFF"/>
          <w:lang w:val="it-IT"/>
        </w:rPr>
        <w:t xml:space="preserve"> (HR = 0,33; </w:t>
      </w:r>
      <w:r w:rsidR="00911D51" w:rsidRPr="000F430E">
        <w:rPr>
          <w:sz w:val="22"/>
          <w:szCs w:val="22"/>
          <w:shd w:val="clear" w:color="auto" w:fill="FFFFFF"/>
          <w:lang w:val="it-IT"/>
        </w:rPr>
        <w:t xml:space="preserve">IC al </w:t>
      </w:r>
      <w:r w:rsidR="00433A9C" w:rsidRPr="000F430E">
        <w:rPr>
          <w:sz w:val="22"/>
          <w:szCs w:val="22"/>
          <w:shd w:val="clear" w:color="auto" w:fill="FFFFFF"/>
          <w:lang w:val="it-IT"/>
        </w:rPr>
        <w:t>95%: 22,4-37,9)</w:t>
      </w:r>
      <w:r w:rsidRPr="000F430E">
        <w:rPr>
          <w:sz w:val="22"/>
          <w:szCs w:val="22"/>
          <w:shd w:val="clear" w:color="auto" w:fill="FFFFFF"/>
          <w:lang w:val="it-IT"/>
        </w:rPr>
        <w:t xml:space="preserve"> rispetto ai 6,8 mesi di T-DM1</w:t>
      </w:r>
      <w:r w:rsidR="002B7A1F" w:rsidRPr="000F430E">
        <w:rPr>
          <w:sz w:val="22"/>
          <w:szCs w:val="22"/>
          <w:shd w:val="clear" w:color="auto" w:fill="FFFFFF"/>
          <w:lang w:val="it-IT"/>
        </w:rPr>
        <w:t xml:space="preserve"> (</w:t>
      </w:r>
      <w:r w:rsidR="00911D51" w:rsidRPr="000F430E">
        <w:rPr>
          <w:sz w:val="22"/>
          <w:szCs w:val="22"/>
          <w:shd w:val="clear" w:color="auto" w:fill="FFFFFF"/>
          <w:lang w:val="it-IT"/>
        </w:rPr>
        <w:t xml:space="preserve">IC al </w:t>
      </w:r>
      <w:r w:rsidR="002B7A1F" w:rsidRPr="000F430E">
        <w:rPr>
          <w:sz w:val="22"/>
          <w:szCs w:val="22"/>
          <w:shd w:val="clear" w:color="auto" w:fill="FFFFFF"/>
          <w:lang w:val="it-IT"/>
        </w:rPr>
        <w:t>95%: 5,6-8,2)</w:t>
      </w:r>
      <w:r w:rsidRPr="000F430E">
        <w:rPr>
          <w:sz w:val="22"/>
          <w:szCs w:val="22"/>
          <w:shd w:val="clear" w:color="auto" w:fill="FFFFFF"/>
          <w:lang w:val="it-IT"/>
        </w:rPr>
        <w:t xml:space="preserve">, come valutato dalla revisione centrale indipendente in cieco (BICR). Il </w:t>
      </w:r>
      <w:r w:rsidRPr="000F430E">
        <w:rPr>
          <w:b/>
          <w:sz w:val="22"/>
          <w:szCs w:val="22"/>
          <w:shd w:val="clear" w:color="auto" w:fill="FFFFFF"/>
          <w:lang w:val="it-IT"/>
        </w:rPr>
        <w:t>tasso di risposta obiettiva</w:t>
      </w:r>
      <w:r w:rsidRPr="000F430E">
        <w:rPr>
          <w:sz w:val="22"/>
          <w:szCs w:val="22"/>
          <w:shd w:val="clear" w:color="auto" w:fill="FFFFFF"/>
          <w:lang w:val="it-IT"/>
        </w:rPr>
        <w:t xml:space="preserve"> confermat</w:t>
      </w:r>
      <w:r w:rsidR="00A577AA" w:rsidRPr="000F430E">
        <w:rPr>
          <w:sz w:val="22"/>
          <w:szCs w:val="22"/>
          <w:shd w:val="clear" w:color="auto" w:fill="FFFFFF"/>
          <w:lang w:val="it-IT"/>
        </w:rPr>
        <w:t>o</w:t>
      </w:r>
      <w:r w:rsidRPr="000F430E">
        <w:rPr>
          <w:sz w:val="22"/>
          <w:szCs w:val="22"/>
          <w:shd w:val="clear" w:color="auto" w:fill="FFFFFF"/>
          <w:lang w:val="it-IT"/>
        </w:rPr>
        <w:t xml:space="preserve"> (ORR) è stato del </w:t>
      </w:r>
      <w:r w:rsidRPr="000F430E">
        <w:rPr>
          <w:b/>
          <w:sz w:val="22"/>
          <w:szCs w:val="22"/>
          <w:shd w:val="clear" w:color="auto" w:fill="FFFFFF"/>
          <w:lang w:val="it-IT"/>
        </w:rPr>
        <w:t>78,5%</w:t>
      </w:r>
      <w:r w:rsidR="002B7A1F" w:rsidRPr="000F430E">
        <w:rPr>
          <w:sz w:val="22"/>
          <w:szCs w:val="22"/>
          <w:shd w:val="clear" w:color="auto" w:fill="FFFFFF"/>
          <w:lang w:val="it-IT"/>
        </w:rPr>
        <w:t xml:space="preserve"> nel</w:t>
      </w:r>
      <w:r w:rsidRPr="000F430E">
        <w:rPr>
          <w:sz w:val="22"/>
          <w:szCs w:val="22"/>
          <w:shd w:val="clear" w:color="auto" w:fill="FFFFFF"/>
          <w:lang w:val="it-IT"/>
        </w:rPr>
        <w:t xml:space="preserve"> braccio </w:t>
      </w:r>
      <w:r w:rsidR="005513A8" w:rsidRPr="000F430E">
        <w:rPr>
          <w:sz w:val="22"/>
          <w:szCs w:val="22"/>
          <w:shd w:val="clear" w:color="auto" w:fill="FFFFFF"/>
          <w:lang w:val="it-IT"/>
        </w:rPr>
        <w:t>trastuzum</w:t>
      </w:r>
      <w:r w:rsidR="00A577AA" w:rsidRPr="000F430E">
        <w:rPr>
          <w:sz w:val="22"/>
          <w:szCs w:val="22"/>
          <w:shd w:val="clear" w:color="auto" w:fill="FFFFFF"/>
          <w:lang w:val="it-IT"/>
        </w:rPr>
        <w:t>a</w:t>
      </w:r>
      <w:r w:rsidR="005513A8" w:rsidRPr="000F430E">
        <w:rPr>
          <w:sz w:val="22"/>
          <w:szCs w:val="22"/>
          <w:shd w:val="clear" w:color="auto" w:fill="FFFFFF"/>
          <w:lang w:val="it-IT"/>
        </w:rPr>
        <w:t>b deruxtecan,</w:t>
      </w:r>
      <w:r w:rsidRPr="000F430E">
        <w:rPr>
          <w:sz w:val="22"/>
          <w:szCs w:val="22"/>
          <w:shd w:val="clear" w:color="auto" w:fill="FFFFFF"/>
          <w:lang w:val="it-IT"/>
        </w:rPr>
        <w:t xml:space="preserve"> </w:t>
      </w:r>
      <w:r w:rsidR="002B7A1F" w:rsidRPr="000F430E">
        <w:rPr>
          <w:sz w:val="22"/>
          <w:szCs w:val="22"/>
          <w:shd w:val="clear" w:color="auto" w:fill="FFFFFF"/>
          <w:lang w:val="it-IT"/>
        </w:rPr>
        <w:t xml:space="preserve">con il 21,1% delle pazienti che ha ottenuto una risposta completa (CR), rispetto a un ORR del 35,0% nel braccio T-DM1, dove il 9,5% dei pazienti ha ottenuto una CR. </w:t>
      </w:r>
      <w:r w:rsidRPr="000F430E">
        <w:rPr>
          <w:sz w:val="22"/>
          <w:szCs w:val="22"/>
          <w:shd w:val="clear" w:color="auto" w:fill="FFFFFF"/>
          <w:lang w:val="it-IT"/>
        </w:rPr>
        <w:t xml:space="preserve">La </w:t>
      </w:r>
      <w:r w:rsidRPr="000F430E">
        <w:rPr>
          <w:b/>
          <w:sz w:val="22"/>
          <w:szCs w:val="22"/>
          <w:shd w:val="clear" w:color="auto" w:fill="FFFFFF"/>
          <w:lang w:val="it-IT"/>
        </w:rPr>
        <w:t>durata mediana della risposta</w:t>
      </w:r>
      <w:r w:rsidRPr="000F430E">
        <w:rPr>
          <w:sz w:val="22"/>
          <w:szCs w:val="22"/>
          <w:shd w:val="clear" w:color="auto" w:fill="FFFFFF"/>
          <w:lang w:val="it-IT"/>
        </w:rPr>
        <w:t xml:space="preserve"> (DoR) è stata di </w:t>
      </w:r>
      <w:r w:rsidRPr="000F430E">
        <w:rPr>
          <w:b/>
          <w:sz w:val="22"/>
          <w:szCs w:val="22"/>
          <w:shd w:val="clear" w:color="auto" w:fill="FFFFFF"/>
          <w:lang w:val="it-IT"/>
        </w:rPr>
        <w:t xml:space="preserve">36,6 mesi per </w:t>
      </w:r>
      <w:r w:rsidR="005513A8" w:rsidRPr="000F430E">
        <w:rPr>
          <w:b/>
          <w:sz w:val="22"/>
          <w:szCs w:val="22"/>
          <w:shd w:val="clear" w:color="auto" w:fill="FFFFFF"/>
          <w:lang w:val="it-IT"/>
        </w:rPr>
        <w:t xml:space="preserve">T-DXd </w:t>
      </w:r>
      <w:r w:rsidRPr="000F430E">
        <w:rPr>
          <w:b/>
          <w:sz w:val="22"/>
          <w:szCs w:val="22"/>
          <w:shd w:val="clear" w:color="auto" w:fill="FFFFFF"/>
          <w:lang w:val="it-IT"/>
        </w:rPr>
        <w:t>rispetto a 23,8 mesi per T-DM1.</w:t>
      </w:r>
      <w:bookmarkStart w:id="1" w:name="_Hlk116582746"/>
    </w:p>
    <w:p w14:paraId="7DE601ED" w14:textId="6C5440F1" w:rsidR="00A43C1E" w:rsidRPr="000F430E" w:rsidRDefault="00A43C1E" w:rsidP="00A43C1E">
      <w:pPr>
        <w:rPr>
          <w:color w:val="0070C0"/>
          <w:sz w:val="22"/>
          <w:szCs w:val="22"/>
          <w:lang w:val="it-IT"/>
        </w:rPr>
      </w:pPr>
    </w:p>
    <w:p w14:paraId="45DE79CE" w14:textId="77777777" w:rsidR="0048266C" w:rsidRPr="000F430E" w:rsidRDefault="0048266C" w:rsidP="0048266C">
      <w:pPr>
        <w:jc w:val="both"/>
        <w:rPr>
          <w:rFonts w:cstheme="minorHAnsi"/>
          <w:i/>
          <w:sz w:val="22"/>
          <w:szCs w:val="22"/>
          <w:lang w:val="it-IT"/>
        </w:rPr>
      </w:pPr>
      <w:r w:rsidRPr="000F430E">
        <w:rPr>
          <w:rFonts w:cstheme="minorHAnsi"/>
          <w:i/>
          <w:iCs/>
          <w:sz w:val="22"/>
          <w:szCs w:val="22"/>
          <w:lang w:val="it-IT"/>
        </w:rPr>
        <w:t xml:space="preserve">“Nello studio DESTINY-Breast01, trastuzumab deruxtecan aveva dimostrato un’importante e duratura attività antitumorale in pazienti HER2-positive fortemente pretrattate, supportando il razionale dello studio </w:t>
      </w:r>
      <w:bookmarkStart w:id="2" w:name="_Hlk120801334"/>
      <w:r w:rsidRPr="000F430E">
        <w:rPr>
          <w:rFonts w:cstheme="minorHAnsi"/>
          <w:i/>
          <w:iCs/>
          <w:sz w:val="22"/>
          <w:szCs w:val="22"/>
          <w:lang w:val="it-IT"/>
        </w:rPr>
        <w:t xml:space="preserve">DESTINY-Breast03 </w:t>
      </w:r>
      <w:bookmarkEnd w:id="2"/>
      <w:r w:rsidRPr="000F430E">
        <w:rPr>
          <w:rFonts w:cstheme="minorHAnsi"/>
          <w:i/>
          <w:iCs/>
          <w:sz w:val="22"/>
          <w:szCs w:val="22"/>
          <w:lang w:val="it-IT"/>
        </w:rPr>
        <w:t xml:space="preserve">che includeva prevalentemente pazienti in seconda linea di terapia </w:t>
      </w:r>
      <w:r w:rsidRPr="000F430E">
        <w:rPr>
          <w:rFonts w:cstheme="minorHAnsi"/>
          <w:sz w:val="22"/>
          <w:szCs w:val="22"/>
          <w:lang w:val="it-IT"/>
        </w:rPr>
        <w:t xml:space="preserve">– sottolinea </w:t>
      </w:r>
      <w:r w:rsidRPr="000F430E">
        <w:rPr>
          <w:rFonts w:cstheme="minorHAnsi"/>
          <w:b/>
          <w:bCs/>
          <w:color w:val="000000"/>
          <w:sz w:val="22"/>
          <w:szCs w:val="22"/>
          <w:lang w:val="it-IT" w:eastAsia="it-IT"/>
        </w:rPr>
        <w:t xml:space="preserve">Giampaolo Bianchini, </w:t>
      </w:r>
      <w:r w:rsidRPr="000F430E">
        <w:rPr>
          <w:rFonts w:cstheme="minorHAnsi"/>
          <w:color w:val="000000"/>
          <w:sz w:val="22"/>
          <w:szCs w:val="22"/>
          <w:lang w:val="it-IT" w:eastAsia="it-IT"/>
        </w:rPr>
        <w:t>Responsabile del Gruppo mammella, Dipartimento di oncologia dell’IRCSS Ospedale San Raffaele di Milano -.</w:t>
      </w:r>
      <w:r w:rsidRPr="000F430E">
        <w:rPr>
          <w:rFonts w:cstheme="minorHAnsi"/>
          <w:i/>
          <w:iCs/>
          <w:color w:val="000000"/>
          <w:sz w:val="22"/>
          <w:szCs w:val="22"/>
          <w:lang w:val="it-IT" w:eastAsia="it-IT"/>
        </w:rPr>
        <w:t xml:space="preserve"> In questo studio</w:t>
      </w:r>
      <w:r w:rsidRPr="000F430E">
        <w:rPr>
          <w:rFonts w:cstheme="minorHAnsi"/>
          <w:i/>
          <w:iCs/>
          <w:sz w:val="22"/>
          <w:szCs w:val="22"/>
          <w:lang w:val="it-IT"/>
        </w:rPr>
        <w:t>, la</w:t>
      </w:r>
      <w:r w:rsidRPr="000F430E">
        <w:rPr>
          <w:rFonts w:cstheme="minorHAnsi"/>
          <w:i/>
          <w:sz w:val="22"/>
          <w:szCs w:val="22"/>
          <w:lang w:val="it-IT"/>
        </w:rPr>
        <w:t xml:space="preserve"> sopravvivenza libera da progressione è quadruplicata rispetto alla terapia di riferimento, arrivando a 28,8 mesi, un miglioramento di quasi 2 anni. Un vantaggio di entità mai osservata prima nel carcinoma mammario, associato anche ad un miglioramento significativo della sopravvivenza </w:t>
      </w:r>
      <w:r w:rsidRPr="000F430E">
        <w:rPr>
          <w:rFonts w:cstheme="minorHAnsi"/>
          <w:iCs/>
          <w:sz w:val="22"/>
          <w:szCs w:val="22"/>
          <w:lang w:val="it-IT"/>
        </w:rPr>
        <w:t>– aggiunge Giampaolo Bianchini –.</w:t>
      </w:r>
      <w:r w:rsidRPr="000F430E">
        <w:rPr>
          <w:rFonts w:cstheme="minorHAnsi"/>
          <w:i/>
          <w:sz w:val="22"/>
          <w:szCs w:val="22"/>
          <w:lang w:val="it-IT"/>
        </w:rPr>
        <w:t xml:space="preserve"> </w:t>
      </w:r>
      <w:r w:rsidRPr="000F430E">
        <w:rPr>
          <w:rFonts w:cstheme="minorHAnsi"/>
          <w:i/>
          <w:iCs/>
          <w:sz w:val="22"/>
          <w:szCs w:val="22"/>
          <w:lang w:val="it-IT"/>
        </w:rPr>
        <w:t xml:space="preserve">Trastuzumab deruxtecan si candida quale </w:t>
      </w:r>
      <w:r w:rsidRPr="000F430E">
        <w:rPr>
          <w:rFonts w:cstheme="minorHAnsi"/>
          <w:i/>
          <w:sz w:val="22"/>
          <w:szCs w:val="22"/>
          <w:lang w:val="it-IT"/>
        </w:rPr>
        <w:t xml:space="preserve">nuovo standard di cura per le pazienti in seconda linea di terapia per il carcinoma mammario metastatico HER2-positivo”. </w:t>
      </w:r>
    </w:p>
    <w:p w14:paraId="4E92513F" w14:textId="77777777" w:rsidR="00A43C1E" w:rsidRPr="000F430E" w:rsidRDefault="00A43C1E" w:rsidP="006137F2">
      <w:pPr>
        <w:rPr>
          <w:color w:val="0070C0"/>
          <w:sz w:val="22"/>
          <w:szCs w:val="22"/>
          <w:lang w:val="it-IT"/>
        </w:rPr>
      </w:pPr>
    </w:p>
    <w:p w14:paraId="71B5DFF0" w14:textId="7A934ADD" w:rsidR="00F83928" w:rsidRDefault="00F83928" w:rsidP="00F83928">
      <w:pPr>
        <w:jc w:val="both"/>
        <w:rPr>
          <w:sz w:val="22"/>
          <w:szCs w:val="22"/>
          <w:lang w:val="it-IT"/>
        </w:rPr>
      </w:pPr>
      <w:r w:rsidRPr="000F430E">
        <w:rPr>
          <w:sz w:val="22"/>
          <w:szCs w:val="22"/>
          <w:lang w:val="it-IT"/>
        </w:rPr>
        <w:t xml:space="preserve">Il profilo di sicurezza </w:t>
      </w:r>
      <w:r w:rsidR="00D056F7" w:rsidRPr="000F430E">
        <w:rPr>
          <w:sz w:val="22"/>
          <w:szCs w:val="22"/>
          <w:lang w:val="it-IT"/>
        </w:rPr>
        <w:t>di trastuzumab deruxtecan osservato nello studio</w:t>
      </w:r>
      <w:r w:rsidRPr="000F430E">
        <w:rPr>
          <w:sz w:val="22"/>
          <w:szCs w:val="22"/>
          <w:lang w:val="it-IT"/>
        </w:rPr>
        <w:t xml:space="preserve"> DESTINY-Breast03 è </w:t>
      </w:r>
      <w:r w:rsidR="00D056F7" w:rsidRPr="000F430E">
        <w:rPr>
          <w:sz w:val="22"/>
          <w:szCs w:val="22"/>
          <w:lang w:val="it-IT"/>
        </w:rPr>
        <w:t>risultato in linea</w:t>
      </w:r>
      <w:r w:rsidRPr="000F430E">
        <w:rPr>
          <w:sz w:val="22"/>
          <w:szCs w:val="22"/>
          <w:lang w:val="it-IT"/>
        </w:rPr>
        <w:t xml:space="preserve"> con gli studi clinici precedenti, </w:t>
      </w:r>
      <w:r w:rsidR="002B7A1F" w:rsidRPr="000F430E">
        <w:rPr>
          <w:sz w:val="22"/>
          <w:szCs w:val="22"/>
          <w:lang w:val="it-IT"/>
        </w:rPr>
        <w:t>e non sono</w:t>
      </w:r>
      <w:r w:rsidRPr="000F430E">
        <w:rPr>
          <w:sz w:val="22"/>
          <w:szCs w:val="22"/>
          <w:lang w:val="it-IT"/>
        </w:rPr>
        <w:t xml:space="preserve"> stati identificati nuovi </w:t>
      </w:r>
      <w:r w:rsidR="00D056F7" w:rsidRPr="000F430E">
        <w:rPr>
          <w:sz w:val="22"/>
          <w:szCs w:val="22"/>
          <w:lang w:val="it-IT"/>
        </w:rPr>
        <w:t xml:space="preserve">segnali </w:t>
      </w:r>
      <w:r w:rsidRPr="000F430E">
        <w:rPr>
          <w:sz w:val="22"/>
          <w:szCs w:val="22"/>
          <w:lang w:val="it-IT"/>
        </w:rPr>
        <w:t xml:space="preserve">di sicurezza. Eventi avversi </w:t>
      </w:r>
      <w:r w:rsidR="00A577AA" w:rsidRPr="000F430E">
        <w:rPr>
          <w:sz w:val="22"/>
          <w:szCs w:val="22"/>
          <w:lang w:val="it-IT"/>
        </w:rPr>
        <w:t>correlati al</w:t>
      </w:r>
      <w:r w:rsidRPr="000F430E">
        <w:rPr>
          <w:sz w:val="22"/>
          <w:szCs w:val="22"/>
          <w:lang w:val="it-IT"/>
        </w:rPr>
        <w:t xml:space="preserve"> trattamento (TEAE)</w:t>
      </w:r>
      <w:r w:rsidR="005513A8" w:rsidRPr="000F430E">
        <w:rPr>
          <w:sz w:val="22"/>
          <w:szCs w:val="22"/>
          <w:lang w:val="it-IT"/>
        </w:rPr>
        <w:t>,</w:t>
      </w:r>
      <w:r w:rsidRPr="000F430E">
        <w:rPr>
          <w:sz w:val="22"/>
          <w:szCs w:val="22"/>
          <w:lang w:val="it-IT"/>
        </w:rPr>
        <w:t xml:space="preserve"> di grado 3 o superiore</w:t>
      </w:r>
      <w:r w:rsidR="005513A8" w:rsidRPr="000F430E">
        <w:rPr>
          <w:sz w:val="22"/>
          <w:szCs w:val="22"/>
          <w:lang w:val="it-IT"/>
        </w:rPr>
        <w:t>,</w:t>
      </w:r>
      <w:r w:rsidRPr="000F430E">
        <w:rPr>
          <w:sz w:val="22"/>
          <w:szCs w:val="22"/>
          <w:lang w:val="it-IT"/>
        </w:rPr>
        <w:t xml:space="preserve"> si sono verificati nel 47,1% delle pazienti che hanno ricevuto </w:t>
      </w:r>
      <w:r w:rsidR="005513A8" w:rsidRPr="000F430E">
        <w:rPr>
          <w:sz w:val="22"/>
          <w:szCs w:val="22"/>
          <w:lang w:val="it-IT"/>
        </w:rPr>
        <w:t>T-DXd</w:t>
      </w:r>
      <w:r w:rsidRPr="000F430E">
        <w:rPr>
          <w:sz w:val="22"/>
          <w:szCs w:val="22"/>
          <w:lang w:val="it-IT"/>
        </w:rPr>
        <w:t xml:space="preserve">. I TEAE di grado 3 o superiore più comuni nel braccio </w:t>
      </w:r>
      <w:r w:rsidR="005513A8" w:rsidRPr="000F430E">
        <w:rPr>
          <w:sz w:val="22"/>
          <w:szCs w:val="22"/>
          <w:lang w:val="it-IT"/>
        </w:rPr>
        <w:t xml:space="preserve">T-DXd </w:t>
      </w:r>
      <w:r w:rsidRPr="000F430E">
        <w:rPr>
          <w:sz w:val="22"/>
          <w:szCs w:val="22"/>
          <w:lang w:val="it-IT"/>
        </w:rPr>
        <w:t xml:space="preserve">sono stati la diminuzione della conta dei neutrofili (16,0%), l'anemia (9,3%), la diminuzione della conta piastrinica (7,8%), la nausea (7,0%), la diminuzione della conta dei globuli bianchi (6,2%) e </w:t>
      </w:r>
      <w:r w:rsidR="008B54FE" w:rsidRPr="00826B02">
        <w:rPr>
          <w:sz w:val="22"/>
          <w:szCs w:val="22"/>
          <w:lang w:val="it-IT"/>
        </w:rPr>
        <w:t>stanchezza</w:t>
      </w:r>
      <w:r w:rsidR="008B54FE" w:rsidRPr="000F430E">
        <w:rPr>
          <w:sz w:val="22"/>
          <w:szCs w:val="22"/>
          <w:lang w:val="it-IT"/>
        </w:rPr>
        <w:t xml:space="preserve"> </w:t>
      </w:r>
      <w:r w:rsidRPr="000F430E">
        <w:rPr>
          <w:sz w:val="22"/>
          <w:szCs w:val="22"/>
          <w:lang w:val="it-IT"/>
        </w:rPr>
        <w:t xml:space="preserve">(5,8%). Nel braccio </w:t>
      </w:r>
      <w:r w:rsidR="005513A8" w:rsidRPr="000F430E">
        <w:rPr>
          <w:sz w:val="22"/>
          <w:szCs w:val="22"/>
          <w:lang w:val="it-IT"/>
        </w:rPr>
        <w:t>T-DXd</w:t>
      </w:r>
      <w:r w:rsidRPr="000F430E">
        <w:rPr>
          <w:sz w:val="22"/>
          <w:szCs w:val="22"/>
          <w:lang w:val="it-IT"/>
        </w:rPr>
        <w:t>, il 15,2% de</w:t>
      </w:r>
      <w:r w:rsidR="005513A8" w:rsidRPr="000F430E">
        <w:rPr>
          <w:sz w:val="22"/>
          <w:szCs w:val="22"/>
          <w:lang w:val="it-IT"/>
        </w:rPr>
        <w:t>lle</w:t>
      </w:r>
      <w:r w:rsidRPr="000F430E">
        <w:rPr>
          <w:sz w:val="22"/>
          <w:szCs w:val="22"/>
          <w:lang w:val="it-IT"/>
        </w:rPr>
        <w:t xml:space="preserve"> pazienti (n=39) ha manifestato una malattia polmonare interstiziale (ILD) o una polmonite correlata al trattamento, come stabilito da un comitato di valutazione indipendente. La maggior parte degli eventi di ILD è stata di basso grado (grado 1 o 2), con due eventi di grado 3 e nessun</w:t>
      </w:r>
      <w:r w:rsidRPr="006D004D">
        <w:rPr>
          <w:sz w:val="22"/>
          <w:szCs w:val="22"/>
          <w:lang w:val="it-IT"/>
        </w:rPr>
        <w:t xml:space="preserve"> evento di ILD o polmonite di grado 4 o 5 osservato ne</w:t>
      </w:r>
      <w:r w:rsidR="005513A8" w:rsidRPr="006D004D">
        <w:rPr>
          <w:sz w:val="22"/>
          <w:szCs w:val="22"/>
          <w:lang w:val="it-IT"/>
        </w:rPr>
        <w:t>lle pazienti del braccio T-DXd</w:t>
      </w:r>
      <w:r w:rsidRPr="006D004D">
        <w:rPr>
          <w:sz w:val="22"/>
          <w:szCs w:val="22"/>
          <w:lang w:val="it-IT"/>
        </w:rPr>
        <w:t>.</w:t>
      </w:r>
    </w:p>
    <w:bookmarkEnd w:id="1"/>
    <w:p w14:paraId="4CEA21FC" w14:textId="77777777" w:rsidR="002B7A1F" w:rsidRPr="006D004D" w:rsidRDefault="002B7A1F" w:rsidP="006137F2">
      <w:pPr>
        <w:rPr>
          <w:b/>
          <w:bCs/>
          <w:color w:val="0070C0"/>
          <w:sz w:val="22"/>
          <w:szCs w:val="22"/>
          <w:lang w:val="it-IT"/>
        </w:rPr>
      </w:pPr>
    </w:p>
    <w:p w14:paraId="016B7E7C" w14:textId="40E65154" w:rsidR="00975D1C" w:rsidRPr="000F430E" w:rsidRDefault="00975D1C" w:rsidP="00975D1C">
      <w:pPr>
        <w:jc w:val="both"/>
        <w:rPr>
          <w:sz w:val="22"/>
          <w:szCs w:val="22"/>
          <w:lang w:val="it-IT"/>
        </w:rPr>
      </w:pPr>
      <w:r w:rsidRPr="006D004D">
        <w:rPr>
          <w:sz w:val="22"/>
          <w:szCs w:val="22"/>
          <w:lang w:val="it-IT"/>
        </w:rPr>
        <w:t xml:space="preserve">Tutte le pazienti </w:t>
      </w:r>
      <w:r w:rsidR="00D056F7" w:rsidRPr="006D004D">
        <w:rPr>
          <w:sz w:val="22"/>
          <w:szCs w:val="22"/>
          <w:lang w:val="it-IT"/>
        </w:rPr>
        <w:t xml:space="preserve">dello studio </w:t>
      </w:r>
      <w:r w:rsidRPr="006D004D">
        <w:rPr>
          <w:sz w:val="22"/>
          <w:szCs w:val="22"/>
          <w:lang w:val="it-IT"/>
        </w:rPr>
        <w:t xml:space="preserve">DESTINY-Breast03 hanno ricevuto almeno una terapia antitumorale precedente, tra cui </w:t>
      </w:r>
      <w:r w:rsidRPr="000F430E">
        <w:rPr>
          <w:sz w:val="22"/>
          <w:szCs w:val="22"/>
          <w:lang w:val="it-IT"/>
        </w:rPr>
        <w:t>trastuzumab (</w:t>
      </w:r>
      <w:r w:rsidR="00365E52" w:rsidRPr="000F430E">
        <w:rPr>
          <w:sz w:val="22"/>
          <w:szCs w:val="22"/>
          <w:lang w:val="it-IT"/>
        </w:rPr>
        <w:t xml:space="preserve">braccio </w:t>
      </w:r>
      <w:r w:rsidR="000B5CC8" w:rsidRPr="000F430E">
        <w:rPr>
          <w:sz w:val="22"/>
          <w:szCs w:val="22"/>
          <w:lang w:val="it-IT"/>
        </w:rPr>
        <w:t>T-DXd</w:t>
      </w:r>
      <w:r w:rsidRPr="000F430E">
        <w:rPr>
          <w:sz w:val="22"/>
          <w:szCs w:val="22"/>
          <w:lang w:val="it-IT"/>
        </w:rPr>
        <w:t xml:space="preserve"> = 99,6%; </w:t>
      </w:r>
      <w:r w:rsidR="00365E52" w:rsidRPr="000F430E">
        <w:rPr>
          <w:sz w:val="22"/>
          <w:szCs w:val="22"/>
          <w:lang w:val="it-IT"/>
        </w:rPr>
        <w:t xml:space="preserve">braccio </w:t>
      </w:r>
      <w:r w:rsidRPr="000F430E">
        <w:rPr>
          <w:sz w:val="22"/>
          <w:szCs w:val="22"/>
          <w:lang w:val="it-IT"/>
        </w:rPr>
        <w:t>T-DM1 = 99,6%) o pertuzumab (</w:t>
      </w:r>
      <w:r w:rsidR="000B5CC8" w:rsidRPr="000F430E">
        <w:rPr>
          <w:sz w:val="22"/>
          <w:szCs w:val="22"/>
          <w:lang w:val="it-IT"/>
        </w:rPr>
        <w:t>T-DXd</w:t>
      </w:r>
      <w:r w:rsidRPr="000F430E">
        <w:rPr>
          <w:sz w:val="22"/>
          <w:szCs w:val="22"/>
          <w:lang w:val="it-IT"/>
        </w:rPr>
        <w:t xml:space="preserve"> = 62,1%; T-DM1 = 60,1%). Nel braccio </w:t>
      </w:r>
      <w:r w:rsidR="000B5CC8" w:rsidRPr="000F430E">
        <w:rPr>
          <w:sz w:val="22"/>
          <w:szCs w:val="22"/>
          <w:lang w:val="it-IT"/>
        </w:rPr>
        <w:t>trastuzumab deruxtecan</w:t>
      </w:r>
      <w:r w:rsidRPr="000F430E">
        <w:rPr>
          <w:sz w:val="22"/>
          <w:szCs w:val="22"/>
          <w:lang w:val="it-IT"/>
        </w:rPr>
        <w:t>, il 41,4% delle pazienti aveva ricevuto una precedente linea di terapia</w:t>
      </w:r>
      <w:r w:rsidR="00492514" w:rsidRPr="000F430E">
        <w:rPr>
          <w:sz w:val="22"/>
          <w:szCs w:val="22"/>
          <w:lang w:val="it-IT"/>
        </w:rPr>
        <w:t xml:space="preserve"> </w:t>
      </w:r>
      <w:r w:rsidR="00911D51" w:rsidRPr="000F430E">
        <w:rPr>
          <w:sz w:val="22"/>
          <w:szCs w:val="22"/>
          <w:lang w:val="it-IT"/>
        </w:rPr>
        <w:t>nel</w:t>
      </w:r>
      <w:r w:rsidR="00492514" w:rsidRPr="000F430E">
        <w:rPr>
          <w:sz w:val="22"/>
          <w:szCs w:val="22"/>
          <w:lang w:val="it-IT"/>
        </w:rPr>
        <w:t xml:space="preserve"> setting metastatico</w:t>
      </w:r>
      <w:r w:rsidRPr="000F430E">
        <w:rPr>
          <w:sz w:val="22"/>
          <w:szCs w:val="22"/>
          <w:lang w:val="it-IT"/>
        </w:rPr>
        <w:t>. Al</w:t>
      </w:r>
      <w:r w:rsidR="00492514" w:rsidRPr="000F430E">
        <w:rPr>
          <w:sz w:val="22"/>
          <w:szCs w:val="22"/>
          <w:lang w:val="it-IT"/>
        </w:rPr>
        <w:t xml:space="preserve"> basale</w:t>
      </w:r>
      <w:r w:rsidRPr="000F430E">
        <w:rPr>
          <w:sz w:val="22"/>
          <w:szCs w:val="22"/>
          <w:lang w:val="it-IT"/>
        </w:rPr>
        <w:t>, il 16,5% de</w:t>
      </w:r>
      <w:r w:rsidR="000B5CC8" w:rsidRPr="000F430E">
        <w:rPr>
          <w:sz w:val="22"/>
          <w:szCs w:val="22"/>
          <w:lang w:val="it-IT"/>
        </w:rPr>
        <w:t xml:space="preserve">lle </w:t>
      </w:r>
      <w:r w:rsidRPr="000F430E">
        <w:rPr>
          <w:sz w:val="22"/>
          <w:szCs w:val="22"/>
          <w:lang w:val="it-IT"/>
        </w:rPr>
        <w:t xml:space="preserve">pazienti nel braccio </w:t>
      </w:r>
      <w:r w:rsidR="000B5CC8" w:rsidRPr="000F430E">
        <w:rPr>
          <w:sz w:val="22"/>
          <w:szCs w:val="22"/>
          <w:lang w:val="it-IT"/>
        </w:rPr>
        <w:t xml:space="preserve">T-DXd </w:t>
      </w:r>
      <w:r w:rsidRPr="000F430E">
        <w:rPr>
          <w:sz w:val="22"/>
          <w:szCs w:val="22"/>
          <w:lang w:val="it-IT"/>
        </w:rPr>
        <w:t>e il 14,8% de</w:t>
      </w:r>
      <w:r w:rsidR="000B5CC8" w:rsidRPr="000F430E">
        <w:rPr>
          <w:sz w:val="22"/>
          <w:szCs w:val="22"/>
          <w:lang w:val="it-IT"/>
        </w:rPr>
        <w:t xml:space="preserve">lle </w:t>
      </w:r>
      <w:r w:rsidRPr="000F430E">
        <w:rPr>
          <w:sz w:val="22"/>
          <w:szCs w:val="22"/>
          <w:lang w:val="it-IT"/>
        </w:rPr>
        <w:t xml:space="preserve">pazienti nel braccio T-DM1 avevano una storia di metastasi cerebrali. </w:t>
      </w:r>
      <w:r w:rsidR="00365E52" w:rsidRPr="000F430E">
        <w:rPr>
          <w:sz w:val="22"/>
          <w:szCs w:val="22"/>
          <w:lang w:val="it-IT"/>
        </w:rPr>
        <w:t>Al</w:t>
      </w:r>
      <w:r w:rsidRPr="000F430E">
        <w:rPr>
          <w:sz w:val="22"/>
          <w:szCs w:val="22"/>
          <w:lang w:val="it-IT"/>
        </w:rPr>
        <w:t xml:space="preserve"> </w:t>
      </w:r>
      <w:r w:rsidR="00D056F7" w:rsidRPr="000F430E">
        <w:rPr>
          <w:sz w:val="22"/>
          <w:szCs w:val="22"/>
          <w:lang w:val="it-IT"/>
        </w:rPr>
        <w:t>cut</w:t>
      </w:r>
      <w:r w:rsidR="00492514" w:rsidRPr="000F430E">
        <w:rPr>
          <w:sz w:val="22"/>
          <w:szCs w:val="22"/>
          <w:lang w:val="it-IT"/>
        </w:rPr>
        <w:t>-</w:t>
      </w:r>
      <w:r w:rsidR="00D056F7" w:rsidRPr="000F430E">
        <w:rPr>
          <w:sz w:val="22"/>
          <w:szCs w:val="22"/>
          <w:lang w:val="it-IT"/>
        </w:rPr>
        <w:t>off</w:t>
      </w:r>
      <w:r w:rsidR="00492514" w:rsidRPr="000F430E">
        <w:rPr>
          <w:sz w:val="22"/>
          <w:szCs w:val="22"/>
          <w:lang w:val="it-IT"/>
        </w:rPr>
        <w:t xml:space="preserve"> dei dati</w:t>
      </w:r>
      <w:r w:rsidR="00D056F7" w:rsidRPr="000F430E">
        <w:rPr>
          <w:sz w:val="22"/>
          <w:szCs w:val="22"/>
          <w:lang w:val="it-IT"/>
        </w:rPr>
        <w:t xml:space="preserve"> del </w:t>
      </w:r>
      <w:r w:rsidRPr="000F430E">
        <w:rPr>
          <w:sz w:val="22"/>
          <w:szCs w:val="22"/>
          <w:lang w:val="it-IT"/>
        </w:rPr>
        <w:t>25 luglio 2022</w:t>
      </w:r>
      <w:r w:rsidR="008B54FE" w:rsidRPr="000F430E">
        <w:rPr>
          <w:sz w:val="22"/>
          <w:szCs w:val="22"/>
          <w:lang w:val="it-IT"/>
        </w:rPr>
        <w:t xml:space="preserve">, </w:t>
      </w:r>
      <w:r w:rsidRPr="000F430E">
        <w:rPr>
          <w:sz w:val="22"/>
          <w:szCs w:val="22"/>
          <w:lang w:val="it-IT"/>
        </w:rPr>
        <w:t xml:space="preserve">75 pazienti erano ancora in trattamento con </w:t>
      </w:r>
      <w:r w:rsidR="000B5CC8" w:rsidRPr="000F430E">
        <w:rPr>
          <w:sz w:val="22"/>
          <w:szCs w:val="22"/>
          <w:lang w:val="it-IT"/>
        </w:rPr>
        <w:t>trastuzumab deruxtecan</w:t>
      </w:r>
      <w:r w:rsidRPr="000F430E">
        <w:rPr>
          <w:sz w:val="22"/>
          <w:szCs w:val="22"/>
          <w:lang w:val="it-IT"/>
        </w:rPr>
        <w:t xml:space="preserve"> e 18 con T-DM1.</w:t>
      </w:r>
    </w:p>
    <w:bookmarkEnd w:id="0"/>
    <w:p w14:paraId="154DDC01" w14:textId="3AA1307C" w:rsidR="00975D1C" w:rsidRPr="000F430E" w:rsidRDefault="00975D1C" w:rsidP="00975D1C">
      <w:pPr>
        <w:jc w:val="both"/>
        <w:rPr>
          <w:b/>
          <w:sz w:val="22"/>
          <w:szCs w:val="22"/>
          <w:lang w:val="it-IT"/>
        </w:rPr>
      </w:pPr>
    </w:p>
    <w:p w14:paraId="66E1F3E7" w14:textId="77777777" w:rsidR="00492514" w:rsidRPr="000F430E" w:rsidRDefault="00492514" w:rsidP="00975D1C">
      <w:pPr>
        <w:jc w:val="both"/>
        <w:rPr>
          <w:sz w:val="22"/>
          <w:szCs w:val="22"/>
          <w:lang w:val="it-IT"/>
        </w:rPr>
      </w:pPr>
    </w:p>
    <w:p w14:paraId="49C16575" w14:textId="09212A29" w:rsidR="00975D1C" w:rsidRPr="00492514" w:rsidRDefault="00975D1C" w:rsidP="00975D1C">
      <w:pPr>
        <w:jc w:val="both"/>
        <w:rPr>
          <w:b/>
          <w:sz w:val="22"/>
          <w:szCs w:val="22"/>
          <w:lang w:val="it-IT"/>
        </w:rPr>
      </w:pPr>
      <w:r w:rsidRPr="000F430E">
        <w:rPr>
          <w:sz w:val="22"/>
          <w:szCs w:val="22"/>
          <w:lang w:val="it-IT"/>
        </w:rPr>
        <w:lastRenderedPageBreak/>
        <w:t xml:space="preserve">Nei risultati </w:t>
      </w:r>
      <w:r w:rsidR="00D056F7" w:rsidRPr="000F430E">
        <w:rPr>
          <w:sz w:val="22"/>
          <w:szCs w:val="22"/>
          <w:lang w:val="it-IT"/>
        </w:rPr>
        <w:t xml:space="preserve">dell’analisi </w:t>
      </w:r>
      <w:r w:rsidRPr="000F430E">
        <w:rPr>
          <w:sz w:val="22"/>
          <w:szCs w:val="22"/>
          <w:lang w:val="it-IT"/>
        </w:rPr>
        <w:t>primari</w:t>
      </w:r>
      <w:r w:rsidR="00D056F7" w:rsidRPr="000F430E">
        <w:rPr>
          <w:sz w:val="22"/>
          <w:szCs w:val="22"/>
          <w:lang w:val="it-IT"/>
        </w:rPr>
        <w:t>a</w:t>
      </w:r>
      <w:r w:rsidRPr="000F430E">
        <w:rPr>
          <w:sz w:val="22"/>
          <w:szCs w:val="22"/>
          <w:lang w:val="it-IT"/>
        </w:rPr>
        <w:t xml:space="preserve"> dello studio di fase 3 </w:t>
      </w:r>
      <w:r w:rsidRPr="000F430E">
        <w:rPr>
          <w:b/>
          <w:sz w:val="22"/>
          <w:szCs w:val="22"/>
          <w:lang w:val="it-IT"/>
        </w:rPr>
        <w:t>DESTINY-Breast02</w:t>
      </w:r>
      <w:r w:rsidRPr="000F430E">
        <w:rPr>
          <w:sz w:val="22"/>
          <w:szCs w:val="22"/>
          <w:lang w:val="it-IT"/>
        </w:rPr>
        <w:t>,</w:t>
      </w:r>
      <w:r w:rsidR="00492514" w:rsidRPr="000F430E">
        <w:rPr>
          <w:sz w:val="22"/>
          <w:szCs w:val="22"/>
          <w:lang w:val="it-IT"/>
        </w:rPr>
        <w:t xml:space="preserve"> nelle pazienti con carcinoma mammario HER2-positivo non resecabile e/o metastatico precedentemente trattato con T-DM1,</w:t>
      </w:r>
      <w:r w:rsidRPr="000F430E">
        <w:rPr>
          <w:sz w:val="22"/>
          <w:szCs w:val="22"/>
          <w:lang w:val="it-IT"/>
        </w:rPr>
        <w:t xml:space="preserve"> </w:t>
      </w:r>
      <w:r w:rsidR="00492514" w:rsidRPr="000F430E">
        <w:rPr>
          <w:b/>
          <w:sz w:val="22"/>
          <w:szCs w:val="22"/>
          <w:lang w:val="it-IT"/>
        </w:rPr>
        <w:t xml:space="preserve">trastuzumab deruxtecan </w:t>
      </w:r>
      <w:r w:rsidR="00492514" w:rsidRPr="000F430E">
        <w:rPr>
          <w:sz w:val="22"/>
          <w:szCs w:val="22"/>
          <w:lang w:val="it-IT"/>
        </w:rPr>
        <w:t xml:space="preserve">ha dimostrato una </w:t>
      </w:r>
      <w:r w:rsidR="00492514" w:rsidRPr="000F430E">
        <w:rPr>
          <w:b/>
          <w:sz w:val="22"/>
          <w:szCs w:val="22"/>
          <w:lang w:val="it-IT"/>
        </w:rPr>
        <w:t>riduzione del 64% del rischio di progressione della malattia o di morte</w:t>
      </w:r>
      <w:r w:rsidRPr="000F430E">
        <w:rPr>
          <w:sz w:val="22"/>
          <w:szCs w:val="22"/>
          <w:lang w:val="it-IT"/>
        </w:rPr>
        <w:t xml:space="preserve"> rispetto al trattamento scelto dal medico</w:t>
      </w:r>
      <w:r w:rsidR="00492514" w:rsidRPr="000F430E">
        <w:rPr>
          <w:b/>
          <w:sz w:val="22"/>
          <w:szCs w:val="22"/>
          <w:lang w:val="it-IT"/>
        </w:rPr>
        <w:t xml:space="preserve"> </w:t>
      </w:r>
      <w:r w:rsidR="00492514" w:rsidRPr="000F430E">
        <w:rPr>
          <w:sz w:val="22"/>
          <w:szCs w:val="22"/>
          <w:lang w:val="it-IT"/>
        </w:rPr>
        <w:t xml:space="preserve">(trastuzumab più capecitabina o lapatinib più capecitabina) (HR=0,36; </w:t>
      </w:r>
      <w:r w:rsidR="00911D51" w:rsidRPr="000F430E">
        <w:rPr>
          <w:sz w:val="22"/>
          <w:szCs w:val="22"/>
          <w:lang w:val="it-IT"/>
        </w:rPr>
        <w:t xml:space="preserve">IC al </w:t>
      </w:r>
      <w:r w:rsidR="00492514" w:rsidRPr="000F430E">
        <w:rPr>
          <w:sz w:val="22"/>
          <w:szCs w:val="22"/>
          <w:lang w:val="it-IT"/>
        </w:rPr>
        <w:t>95%: 0,28-0,45; p&lt;0,000001).</w:t>
      </w:r>
      <w:r w:rsidR="00492514" w:rsidRPr="000F430E">
        <w:rPr>
          <w:b/>
          <w:sz w:val="22"/>
          <w:szCs w:val="22"/>
          <w:lang w:val="it-IT"/>
        </w:rPr>
        <w:t xml:space="preserve"> </w:t>
      </w:r>
      <w:r w:rsidRPr="000F430E">
        <w:rPr>
          <w:b/>
          <w:sz w:val="22"/>
          <w:szCs w:val="22"/>
          <w:lang w:val="it-IT"/>
        </w:rPr>
        <w:t xml:space="preserve">La PFS mediana per le pazienti trattate con </w:t>
      </w:r>
      <w:r w:rsidR="00FA6D65" w:rsidRPr="000F430E">
        <w:rPr>
          <w:b/>
          <w:sz w:val="22"/>
          <w:szCs w:val="22"/>
          <w:lang w:val="it-IT"/>
        </w:rPr>
        <w:t>trastuzumab deruxtecan</w:t>
      </w:r>
      <w:r w:rsidRPr="000F430E">
        <w:rPr>
          <w:b/>
          <w:sz w:val="22"/>
          <w:szCs w:val="22"/>
          <w:lang w:val="it-IT"/>
        </w:rPr>
        <w:t xml:space="preserve"> è stata di 17,8 mesi</w:t>
      </w:r>
      <w:r w:rsidRPr="000F430E">
        <w:rPr>
          <w:sz w:val="22"/>
          <w:szCs w:val="22"/>
          <w:lang w:val="it-IT"/>
        </w:rPr>
        <w:t xml:space="preserve"> (</w:t>
      </w:r>
      <w:r w:rsidR="00B51097" w:rsidRPr="000F430E">
        <w:rPr>
          <w:sz w:val="22"/>
          <w:szCs w:val="22"/>
          <w:lang w:val="it-IT"/>
        </w:rPr>
        <w:t xml:space="preserve">IC al </w:t>
      </w:r>
      <w:r w:rsidRPr="000F430E">
        <w:rPr>
          <w:sz w:val="22"/>
          <w:szCs w:val="22"/>
          <w:lang w:val="it-IT"/>
        </w:rPr>
        <w:t>95%, 14,3-20,8</w:t>
      </w:r>
      <w:r w:rsidRPr="006D004D">
        <w:rPr>
          <w:sz w:val="22"/>
          <w:szCs w:val="22"/>
          <w:lang w:val="it-IT"/>
        </w:rPr>
        <w:t xml:space="preserve">) </w:t>
      </w:r>
      <w:r w:rsidRPr="006D004D">
        <w:rPr>
          <w:b/>
          <w:sz w:val="22"/>
          <w:szCs w:val="22"/>
          <w:lang w:val="it-IT"/>
        </w:rPr>
        <w:t>rispetto a 6,9 mesi</w:t>
      </w:r>
      <w:r w:rsidRPr="006D004D">
        <w:rPr>
          <w:sz w:val="22"/>
          <w:szCs w:val="22"/>
          <w:lang w:val="it-IT"/>
        </w:rPr>
        <w:t xml:space="preserve"> (</w:t>
      </w:r>
      <w:r w:rsidR="00B51097">
        <w:rPr>
          <w:sz w:val="22"/>
          <w:szCs w:val="22"/>
          <w:lang w:val="it-IT"/>
        </w:rPr>
        <w:t xml:space="preserve">IC al </w:t>
      </w:r>
      <w:r w:rsidRPr="006D004D">
        <w:rPr>
          <w:sz w:val="22"/>
          <w:szCs w:val="22"/>
          <w:lang w:val="it-IT"/>
        </w:rPr>
        <w:t xml:space="preserve">95%, 5,5-8,4) per quelle trattate con la terapia scelta dal medico, </w:t>
      </w:r>
      <w:r w:rsidR="00365E52" w:rsidRPr="006D004D">
        <w:rPr>
          <w:sz w:val="22"/>
          <w:szCs w:val="22"/>
          <w:lang w:val="it-IT"/>
        </w:rPr>
        <w:t>come valutato dal</w:t>
      </w:r>
      <w:r w:rsidRPr="006D004D">
        <w:rPr>
          <w:sz w:val="22"/>
          <w:szCs w:val="22"/>
          <w:lang w:val="it-IT"/>
        </w:rPr>
        <w:t xml:space="preserve"> BICR. Il trattamento con </w:t>
      </w:r>
      <w:r w:rsidR="000D738B" w:rsidRPr="006D004D">
        <w:rPr>
          <w:sz w:val="22"/>
          <w:szCs w:val="22"/>
          <w:lang w:val="it-IT"/>
        </w:rPr>
        <w:t>trastuzumab deruxtecan</w:t>
      </w:r>
      <w:r w:rsidRPr="006D004D">
        <w:rPr>
          <w:sz w:val="22"/>
          <w:szCs w:val="22"/>
          <w:lang w:val="it-IT"/>
        </w:rPr>
        <w:t xml:space="preserve"> ha anche mostrato </w:t>
      </w:r>
      <w:r w:rsidRPr="006D004D">
        <w:rPr>
          <w:b/>
          <w:sz w:val="22"/>
          <w:szCs w:val="22"/>
          <w:lang w:val="it-IT"/>
        </w:rPr>
        <w:t xml:space="preserve">una riduzione del 34% del rischio di morte </w:t>
      </w:r>
      <w:r w:rsidRPr="006D004D">
        <w:rPr>
          <w:sz w:val="22"/>
          <w:szCs w:val="22"/>
          <w:lang w:val="it-IT"/>
        </w:rPr>
        <w:t xml:space="preserve">rispetto alla terapia scelta dal medico (HR=0,66; </w:t>
      </w:r>
      <w:r w:rsidR="00B51097">
        <w:rPr>
          <w:sz w:val="22"/>
          <w:szCs w:val="22"/>
          <w:lang w:val="it-IT"/>
        </w:rPr>
        <w:t xml:space="preserve">IC al </w:t>
      </w:r>
      <w:r w:rsidRPr="006D004D">
        <w:rPr>
          <w:sz w:val="22"/>
          <w:szCs w:val="22"/>
          <w:lang w:val="it-IT"/>
        </w:rPr>
        <w:t xml:space="preserve">95%, 0,50-0,86; p=0,0021) con una OS mediana di 39,2 mesi con </w:t>
      </w:r>
      <w:r w:rsidR="000D738B" w:rsidRPr="006D004D">
        <w:rPr>
          <w:sz w:val="22"/>
          <w:szCs w:val="22"/>
          <w:lang w:val="it-IT"/>
        </w:rPr>
        <w:t>trastuzumab deruxtecan</w:t>
      </w:r>
      <w:r w:rsidRPr="006D004D">
        <w:rPr>
          <w:sz w:val="22"/>
          <w:szCs w:val="22"/>
          <w:lang w:val="it-IT"/>
        </w:rPr>
        <w:t xml:space="preserve"> (</w:t>
      </w:r>
      <w:r w:rsidR="00B51097">
        <w:rPr>
          <w:sz w:val="22"/>
          <w:szCs w:val="22"/>
          <w:lang w:val="it-IT"/>
        </w:rPr>
        <w:t xml:space="preserve">IC al </w:t>
      </w:r>
      <w:r w:rsidRPr="006D004D">
        <w:rPr>
          <w:sz w:val="22"/>
          <w:szCs w:val="22"/>
          <w:lang w:val="it-IT"/>
        </w:rPr>
        <w:t>95%, 32,7-NE) rispetto a 26,5 mesi con la terapia scelta dal medico</w:t>
      </w:r>
      <w:r w:rsidR="00492514">
        <w:rPr>
          <w:sz w:val="22"/>
          <w:szCs w:val="22"/>
          <w:lang w:val="it-IT"/>
        </w:rPr>
        <w:t xml:space="preserve"> </w:t>
      </w:r>
      <w:r w:rsidR="00492514" w:rsidRPr="006D004D">
        <w:rPr>
          <w:sz w:val="22"/>
          <w:szCs w:val="22"/>
          <w:lang w:val="it-IT"/>
        </w:rPr>
        <w:t>(</w:t>
      </w:r>
      <w:r w:rsidR="0073109B">
        <w:rPr>
          <w:sz w:val="22"/>
          <w:szCs w:val="22"/>
          <w:lang w:val="it-IT"/>
        </w:rPr>
        <w:t xml:space="preserve">IC al </w:t>
      </w:r>
      <w:r w:rsidR="00492514" w:rsidRPr="006D004D">
        <w:rPr>
          <w:sz w:val="22"/>
          <w:szCs w:val="22"/>
          <w:lang w:val="it-IT"/>
        </w:rPr>
        <w:t>95%, 21,0-NE)</w:t>
      </w:r>
      <w:r w:rsidRPr="006D004D">
        <w:rPr>
          <w:sz w:val="22"/>
          <w:szCs w:val="22"/>
          <w:lang w:val="it-IT"/>
        </w:rPr>
        <w:t>.</w:t>
      </w:r>
    </w:p>
    <w:p w14:paraId="3792F03E" w14:textId="62731BF8" w:rsidR="00A43C1E" w:rsidRPr="006D004D" w:rsidRDefault="00A43C1E" w:rsidP="00975D1C">
      <w:pPr>
        <w:jc w:val="both"/>
        <w:rPr>
          <w:sz w:val="22"/>
          <w:szCs w:val="22"/>
          <w:lang w:val="it-IT"/>
        </w:rPr>
      </w:pPr>
    </w:p>
    <w:p w14:paraId="318A1CD6" w14:textId="248FC0C8" w:rsidR="00103B85" w:rsidRPr="000F430E" w:rsidRDefault="000F430E" w:rsidP="00975D1C">
      <w:pPr>
        <w:jc w:val="both"/>
        <w:rPr>
          <w:rFonts w:cstheme="minorHAnsi"/>
          <w:i/>
          <w:sz w:val="22"/>
          <w:szCs w:val="22"/>
          <w:lang w:val="it-IT"/>
        </w:rPr>
      </w:pPr>
      <w:r w:rsidRPr="000F430E">
        <w:rPr>
          <w:rFonts w:cstheme="minorHAnsi"/>
          <w:i/>
          <w:sz w:val="22"/>
          <w:szCs w:val="22"/>
          <w:lang w:val="it-IT"/>
        </w:rPr>
        <w:t xml:space="preserve">“Anche lo studio </w:t>
      </w:r>
      <w:r w:rsidRPr="000F430E">
        <w:rPr>
          <w:rFonts w:cstheme="minorHAnsi"/>
          <w:i/>
          <w:iCs/>
          <w:sz w:val="22"/>
          <w:szCs w:val="22"/>
          <w:lang w:val="it-IT"/>
        </w:rPr>
        <w:t xml:space="preserve">DESTINY-Breast02 sottolinea il ruolo che trastuzumab deruxtecan avrà come trattamento per le donne con tumore del seno metastatico - </w:t>
      </w:r>
      <w:r w:rsidRPr="000F430E">
        <w:rPr>
          <w:rFonts w:cstheme="minorHAnsi"/>
          <w:sz w:val="22"/>
          <w:szCs w:val="22"/>
          <w:lang w:val="it-IT"/>
        </w:rPr>
        <w:t xml:space="preserve">spiega </w:t>
      </w:r>
      <w:r w:rsidRPr="000F430E">
        <w:rPr>
          <w:rFonts w:cstheme="minorHAnsi"/>
          <w:b/>
          <w:bCs/>
          <w:sz w:val="22"/>
          <w:szCs w:val="22"/>
          <w:lang w:val="it-IT"/>
        </w:rPr>
        <w:t>Valentina Guarneri</w:t>
      </w:r>
      <w:r w:rsidRPr="000F430E">
        <w:rPr>
          <w:rFonts w:cstheme="minorHAnsi"/>
          <w:sz w:val="22"/>
          <w:szCs w:val="22"/>
          <w:lang w:val="it-IT"/>
        </w:rPr>
        <w:t>, Direttore della Oncologia 2 dell’Istituto Oncologico Veneto – IRCCS di Padova e Professore Ordinario di Oncologia Medica all’Università di Padova</w:t>
      </w:r>
      <w:r w:rsidR="00826B02">
        <w:rPr>
          <w:rFonts w:cstheme="minorHAnsi"/>
          <w:sz w:val="22"/>
          <w:szCs w:val="22"/>
          <w:lang w:val="it-IT"/>
        </w:rPr>
        <w:t xml:space="preserve"> -</w:t>
      </w:r>
      <w:r w:rsidRPr="000F430E">
        <w:rPr>
          <w:rFonts w:cstheme="minorHAnsi"/>
          <w:sz w:val="22"/>
          <w:szCs w:val="22"/>
          <w:lang w:val="it-IT"/>
        </w:rPr>
        <w:t xml:space="preserve">. </w:t>
      </w:r>
      <w:r w:rsidRPr="000F430E">
        <w:rPr>
          <w:rFonts w:cstheme="minorHAnsi"/>
          <w:i/>
          <w:iCs/>
          <w:sz w:val="22"/>
          <w:szCs w:val="22"/>
          <w:lang w:val="it-IT"/>
        </w:rPr>
        <w:t>Sono state arruolate circa 600 pazienti con carcinoma mammario HER2-positivo metastatico precedentemente trattato con TDM-1.</w:t>
      </w:r>
      <w:r w:rsidRPr="000F430E">
        <w:rPr>
          <w:rFonts w:cstheme="minorHAnsi"/>
          <w:i/>
          <w:sz w:val="22"/>
          <w:szCs w:val="22"/>
          <w:lang w:val="it-IT"/>
        </w:rPr>
        <w:t xml:space="preserve"> </w:t>
      </w:r>
      <w:r w:rsidRPr="000F430E">
        <w:rPr>
          <w:rFonts w:cstheme="minorHAnsi"/>
          <w:i/>
          <w:iCs/>
          <w:sz w:val="22"/>
          <w:szCs w:val="22"/>
          <w:lang w:val="it-IT"/>
        </w:rPr>
        <w:t xml:space="preserve">Trastuzumab deruxtecan ha quasi triplicato la sopravvivenza libera da progressione, raggiungendo 17,8 mesi rispetto a 6,9 mesi nelle pazienti trattate con la terapia a scelta dello sperimentatore.  Questi risultati </w:t>
      </w:r>
      <w:r w:rsidRPr="000F430E">
        <w:rPr>
          <w:rFonts w:cstheme="minorHAnsi"/>
          <w:i/>
          <w:sz w:val="22"/>
          <w:szCs w:val="22"/>
          <w:lang w:val="it-IT"/>
        </w:rPr>
        <w:t xml:space="preserve">confermano l’efficacia di questa classe di farmaci a target molecolare, che hanno già dimostrato risultati di estremo interesse clinico anche in fasi più precoci di malattia”. </w:t>
      </w:r>
    </w:p>
    <w:p w14:paraId="7879EA35" w14:textId="77777777" w:rsidR="000F430E" w:rsidRPr="000F430E" w:rsidRDefault="000F430E" w:rsidP="00975D1C">
      <w:pPr>
        <w:jc w:val="both"/>
        <w:rPr>
          <w:sz w:val="22"/>
          <w:szCs w:val="22"/>
          <w:lang w:val="it-IT"/>
        </w:rPr>
      </w:pPr>
    </w:p>
    <w:p w14:paraId="7ACAAD3B" w14:textId="39DBC283" w:rsidR="00103B85" w:rsidRPr="000F430E" w:rsidRDefault="00103B85" w:rsidP="00975D1C">
      <w:pPr>
        <w:jc w:val="both"/>
        <w:rPr>
          <w:sz w:val="22"/>
          <w:szCs w:val="22"/>
          <w:lang w:val="it-IT"/>
        </w:rPr>
      </w:pPr>
      <w:r w:rsidRPr="000F430E">
        <w:rPr>
          <w:sz w:val="22"/>
          <w:szCs w:val="22"/>
          <w:lang w:val="it-IT"/>
        </w:rPr>
        <w:t>I dati d</w:t>
      </w:r>
      <w:r w:rsidR="00E43CCE" w:rsidRPr="000F430E">
        <w:rPr>
          <w:sz w:val="22"/>
          <w:szCs w:val="22"/>
          <w:lang w:val="it-IT"/>
        </w:rPr>
        <w:t>ello studio</w:t>
      </w:r>
      <w:r w:rsidRPr="000F430E">
        <w:rPr>
          <w:sz w:val="22"/>
          <w:szCs w:val="22"/>
          <w:lang w:val="it-IT"/>
        </w:rPr>
        <w:t xml:space="preserve"> DESTINY-Breast02 confermano quelli dello studio di fase 2 DESTINY-Breast01, che ha supportato le prime approvazioni di trastuzumab deruxtecan in pazienti con carcinoma mammario metastatico HER2-positivo che hanno ricevuto due o più precedenti regimi di trattamento a base di anti-HER2.</w:t>
      </w:r>
    </w:p>
    <w:p w14:paraId="26B65B3F" w14:textId="3CD7506F" w:rsidR="00975D1C" w:rsidRPr="000F430E" w:rsidRDefault="00975D1C" w:rsidP="006137F2">
      <w:pPr>
        <w:jc w:val="both"/>
        <w:rPr>
          <w:color w:val="0070C0"/>
          <w:sz w:val="22"/>
          <w:szCs w:val="22"/>
          <w:lang w:val="it-IT"/>
        </w:rPr>
      </w:pPr>
    </w:p>
    <w:p w14:paraId="2B359648" w14:textId="3A50339E" w:rsidR="00975D1C" w:rsidRDefault="00D056F7" w:rsidP="006137F2">
      <w:pPr>
        <w:jc w:val="both"/>
        <w:rPr>
          <w:sz w:val="22"/>
          <w:szCs w:val="22"/>
          <w:lang w:val="it-IT"/>
        </w:rPr>
      </w:pPr>
      <w:r w:rsidRPr="000F430E">
        <w:rPr>
          <w:sz w:val="22"/>
          <w:szCs w:val="22"/>
          <w:lang w:val="it-IT"/>
        </w:rPr>
        <w:t xml:space="preserve">Nello studio </w:t>
      </w:r>
      <w:r w:rsidR="00365E52" w:rsidRPr="000F430E">
        <w:rPr>
          <w:sz w:val="22"/>
          <w:szCs w:val="22"/>
          <w:lang w:val="it-IT"/>
        </w:rPr>
        <w:t xml:space="preserve">DESTINY-Breast02 il </w:t>
      </w:r>
      <w:r w:rsidR="00975D1C" w:rsidRPr="000F430E">
        <w:rPr>
          <w:sz w:val="22"/>
          <w:szCs w:val="22"/>
          <w:lang w:val="it-IT"/>
        </w:rPr>
        <w:t xml:space="preserve">profilo di sicurezza degli eventi avversi più comuni con </w:t>
      </w:r>
      <w:r w:rsidR="000D738B" w:rsidRPr="000F430E">
        <w:rPr>
          <w:sz w:val="22"/>
          <w:szCs w:val="22"/>
          <w:lang w:val="it-IT"/>
        </w:rPr>
        <w:t>trastuzumab deruxtecan</w:t>
      </w:r>
      <w:r w:rsidR="00975D1C" w:rsidRPr="000F430E">
        <w:rPr>
          <w:sz w:val="22"/>
          <w:szCs w:val="22"/>
          <w:lang w:val="it-IT"/>
        </w:rPr>
        <w:t xml:space="preserve"> è </w:t>
      </w:r>
      <w:r w:rsidRPr="000F430E">
        <w:rPr>
          <w:sz w:val="22"/>
          <w:szCs w:val="22"/>
          <w:lang w:val="it-IT"/>
        </w:rPr>
        <w:t>risultato in linea</w:t>
      </w:r>
      <w:r w:rsidR="00975D1C" w:rsidRPr="000F430E">
        <w:rPr>
          <w:sz w:val="22"/>
          <w:szCs w:val="22"/>
          <w:lang w:val="it-IT"/>
        </w:rPr>
        <w:t xml:space="preserve"> con gli studi clinici precedenti e non sono stati identificati nuovi </w:t>
      </w:r>
      <w:r w:rsidRPr="000F430E">
        <w:rPr>
          <w:sz w:val="22"/>
          <w:szCs w:val="22"/>
          <w:lang w:val="it-IT"/>
        </w:rPr>
        <w:t xml:space="preserve">segnali </w:t>
      </w:r>
      <w:r w:rsidR="00975D1C" w:rsidRPr="000F430E">
        <w:rPr>
          <w:sz w:val="22"/>
          <w:szCs w:val="22"/>
          <w:lang w:val="it-IT"/>
        </w:rPr>
        <w:t xml:space="preserve">di sicurezza. Eventi avversi di grado 3 o superiore correlati al trattamento (TEAE) si sono verificati nel 41,3% delle pazienti che hanno ricevuto </w:t>
      </w:r>
      <w:r w:rsidR="000D738B" w:rsidRPr="000F430E">
        <w:rPr>
          <w:sz w:val="22"/>
          <w:szCs w:val="22"/>
          <w:lang w:val="it-IT"/>
        </w:rPr>
        <w:t>T-DXd</w:t>
      </w:r>
      <w:r w:rsidR="00975D1C" w:rsidRPr="000F430E">
        <w:rPr>
          <w:sz w:val="22"/>
          <w:szCs w:val="22"/>
          <w:lang w:val="it-IT"/>
        </w:rPr>
        <w:t xml:space="preserve">. I TEAE di grado 3 o superiore più comuni nel braccio </w:t>
      </w:r>
      <w:r w:rsidR="000D738B" w:rsidRPr="000F430E">
        <w:rPr>
          <w:sz w:val="22"/>
          <w:szCs w:val="22"/>
          <w:lang w:val="it-IT"/>
        </w:rPr>
        <w:t>T-DXd</w:t>
      </w:r>
      <w:r w:rsidR="00975D1C" w:rsidRPr="000F430E">
        <w:rPr>
          <w:sz w:val="22"/>
          <w:szCs w:val="22"/>
          <w:lang w:val="it-IT"/>
        </w:rPr>
        <w:t xml:space="preserve"> sono stati diminuzione della conta dei neutrofili (10,6%), anemia (7,9%), neutropenia (7,7%), nausea (6,7%) e astenia (5,0%). Nel braccio </w:t>
      </w:r>
      <w:r w:rsidR="000D738B" w:rsidRPr="000F430E">
        <w:rPr>
          <w:sz w:val="22"/>
          <w:szCs w:val="22"/>
          <w:lang w:val="it-IT"/>
        </w:rPr>
        <w:t>T-DXd</w:t>
      </w:r>
      <w:r w:rsidR="00975D1C" w:rsidRPr="000F430E">
        <w:rPr>
          <w:sz w:val="22"/>
          <w:szCs w:val="22"/>
          <w:lang w:val="it-IT"/>
        </w:rPr>
        <w:t xml:space="preserve">, il 10,4% dei pazienti (n=42) ha manifestato </w:t>
      </w:r>
      <w:r w:rsidR="00365E52" w:rsidRPr="000F430E">
        <w:rPr>
          <w:sz w:val="22"/>
          <w:szCs w:val="22"/>
          <w:lang w:val="it-IT"/>
        </w:rPr>
        <w:t>malattia polmonare interstiziale</w:t>
      </w:r>
      <w:r w:rsidR="00975D1C" w:rsidRPr="000F430E">
        <w:rPr>
          <w:sz w:val="22"/>
          <w:szCs w:val="22"/>
          <w:lang w:val="it-IT"/>
        </w:rPr>
        <w:t xml:space="preserve"> o polmonite correlata al trattamento, come stabilito da un comitato di valutazione indipendente. La maggior parte degli eventi di ILD è stata di basso grado (grado 1 o 2), con </w:t>
      </w:r>
      <w:r w:rsidR="00103B85" w:rsidRPr="000F430E">
        <w:rPr>
          <w:sz w:val="22"/>
          <w:szCs w:val="22"/>
          <w:lang w:val="it-IT"/>
        </w:rPr>
        <w:t>tre eventi</w:t>
      </w:r>
      <w:r w:rsidR="00975D1C" w:rsidRPr="000F430E">
        <w:rPr>
          <w:sz w:val="22"/>
          <w:szCs w:val="22"/>
          <w:lang w:val="it-IT"/>
        </w:rPr>
        <w:t xml:space="preserve"> di grado 3</w:t>
      </w:r>
      <w:r w:rsidR="00103B85" w:rsidRPr="000F430E">
        <w:rPr>
          <w:sz w:val="22"/>
          <w:szCs w:val="22"/>
          <w:lang w:val="it-IT"/>
        </w:rPr>
        <w:t>, nessun event</w:t>
      </w:r>
      <w:r w:rsidR="00975D1C" w:rsidRPr="000F430E">
        <w:rPr>
          <w:sz w:val="22"/>
          <w:szCs w:val="22"/>
          <w:lang w:val="it-IT"/>
        </w:rPr>
        <w:t>o</w:t>
      </w:r>
      <w:r w:rsidR="00103B85" w:rsidRPr="000F430E">
        <w:rPr>
          <w:sz w:val="22"/>
          <w:szCs w:val="22"/>
          <w:lang w:val="it-IT"/>
        </w:rPr>
        <w:t xml:space="preserve"> di grado</w:t>
      </w:r>
      <w:r w:rsidR="00975D1C" w:rsidRPr="000F430E">
        <w:rPr>
          <w:sz w:val="22"/>
          <w:szCs w:val="22"/>
          <w:lang w:val="it-IT"/>
        </w:rPr>
        <w:t xml:space="preserve"> 4</w:t>
      </w:r>
      <w:r w:rsidR="000D738B" w:rsidRPr="000F430E">
        <w:rPr>
          <w:sz w:val="22"/>
          <w:szCs w:val="22"/>
          <w:lang w:val="it-IT"/>
        </w:rPr>
        <w:t>,</w:t>
      </w:r>
      <w:r w:rsidR="00975D1C" w:rsidRPr="000F430E">
        <w:rPr>
          <w:sz w:val="22"/>
          <w:szCs w:val="22"/>
          <w:lang w:val="it-IT"/>
        </w:rPr>
        <w:t xml:space="preserve"> e due eventi di grado 5 osservati.</w:t>
      </w:r>
    </w:p>
    <w:p w14:paraId="6D81633B" w14:textId="77777777" w:rsidR="00A43C1E" w:rsidRPr="006D004D" w:rsidRDefault="00A43C1E" w:rsidP="00C437A5">
      <w:pPr>
        <w:jc w:val="both"/>
        <w:rPr>
          <w:i/>
          <w:sz w:val="22"/>
          <w:szCs w:val="22"/>
          <w:lang w:val="it-IT"/>
        </w:rPr>
      </w:pPr>
    </w:p>
    <w:p w14:paraId="592BC56A" w14:textId="1EEDE75A" w:rsidR="0048266C" w:rsidRPr="006D004D" w:rsidRDefault="0048266C" w:rsidP="0048266C">
      <w:pPr>
        <w:jc w:val="both"/>
        <w:rPr>
          <w:i/>
          <w:sz w:val="22"/>
          <w:szCs w:val="22"/>
          <w:lang w:val="it-IT"/>
        </w:rPr>
      </w:pPr>
      <w:r w:rsidRPr="006D004D">
        <w:rPr>
          <w:i/>
          <w:sz w:val="22"/>
          <w:szCs w:val="22"/>
          <w:lang w:val="it-IT"/>
        </w:rPr>
        <w:t xml:space="preserve">“Nel 2020, in Italia, sono stati stimati circa 55mila nuovi casi di tumore della mammella, la neoplasia più frequente in tutta la popolazione </w:t>
      </w:r>
      <w:r w:rsidRPr="006D004D">
        <w:rPr>
          <w:iCs/>
          <w:sz w:val="22"/>
          <w:szCs w:val="22"/>
          <w:lang w:val="it-IT"/>
        </w:rPr>
        <w:t xml:space="preserve">- afferma </w:t>
      </w:r>
      <w:r w:rsidRPr="006D004D">
        <w:rPr>
          <w:rFonts w:eastAsia="Calibri" w:cstheme="minorHAnsi"/>
          <w:b/>
          <w:bCs/>
          <w:iCs/>
          <w:sz w:val="22"/>
          <w:szCs w:val="22"/>
          <w:lang w:val="it-IT"/>
        </w:rPr>
        <w:t>Saverio Cinieri</w:t>
      </w:r>
      <w:r w:rsidRPr="006D004D">
        <w:rPr>
          <w:rFonts w:eastAsia="Calibri" w:cstheme="minorHAnsi"/>
          <w:iCs/>
          <w:sz w:val="22"/>
          <w:szCs w:val="22"/>
          <w:lang w:val="it-IT"/>
        </w:rPr>
        <w:t>, Presidente AIOM (Associazione Italiana di Oncologia Medica) -.</w:t>
      </w:r>
      <w:r w:rsidRPr="006D004D">
        <w:rPr>
          <w:rFonts w:eastAsia="Calibri" w:cstheme="minorHAnsi"/>
          <w:i/>
          <w:sz w:val="22"/>
          <w:szCs w:val="22"/>
          <w:lang w:val="it-IT"/>
        </w:rPr>
        <w:t xml:space="preserve"> </w:t>
      </w:r>
      <w:r w:rsidRPr="006D004D">
        <w:rPr>
          <w:i/>
          <w:sz w:val="22"/>
          <w:szCs w:val="22"/>
          <w:lang w:val="it-IT"/>
        </w:rPr>
        <w:t xml:space="preserve">Oggi nei casi in cui è presente l’iper-espressione del recettore HER2, è possibile utilizzare farmaci molto efficaci che colpiscono selettivamente le cellule malate risparmiando così quelle sane. È questo il caso degli anticorpi coniugati, come trastuzumab deruxtecan. I dati aggiornati degli studi DESTINY-Breast03 e DESTINY-Breast02 evidenziano il potenziale di questa terapia innovativa che nel trattamento di seconda linea delle pazienti con carcinoma metastatico HER2 positivo è in grado di controllare la malattia, migliorare la qualità di vita e ritardare il tempo al deterioramento clinico”. </w:t>
      </w:r>
    </w:p>
    <w:p w14:paraId="14490FED" w14:textId="190CAB1D" w:rsidR="00A43C1E" w:rsidRDefault="00A43C1E" w:rsidP="00C437A5">
      <w:pPr>
        <w:jc w:val="both"/>
        <w:rPr>
          <w:i/>
          <w:sz w:val="22"/>
          <w:szCs w:val="22"/>
          <w:lang w:val="it-IT"/>
        </w:rPr>
      </w:pPr>
    </w:p>
    <w:p w14:paraId="70AB7B9D" w14:textId="77777777" w:rsidR="00C437A5" w:rsidRDefault="00C437A5" w:rsidP="006137F2">
      <w:pPr>
        <w:jc w:val="both"/>
        <w:rPr>
          <w:sz w:val="22"/>
          <w:szCs w:val="22"/>
          <w:lang w:val="it-IT"/>
        </w:rPr>
      </w:pPr>
    </w:p>
    <w:p w14:paraId="67DF2F9E" w14:textId="59985D8D" w:rsidR="005B575D" w:rsidRPr="00975D1C" w:rsidRDefault="005B575D" w:rsidP="006137F2">
      <w:pPr>
        <w:jc w:val="both"/>
        <w:rPr>
          <w:sz w:val="22"/>
          <w:szCs w:val="22"/>
          <w:lang w:val="it-IT"/>
        </w:rPr>
      </w:pPr>
      <w:r>
        <w:rPr>
          <w:sz w:val="22"/>
          <w:szCs w:val="22"/>
          <w:lang w:val="it-IT"/>
        </w:rPr>
        <w:t>-------------</w:t>
      </w:r>
    </w:p>
    <w:p w14:paraId="6CEEAAE0" w14:textId="77777777" w:rsidR="00474834" w:rsidRPr="00C437A5" w:rsidRDefault="00474834" w:rsidP="00474834">
      <w:pPr>
        <w:spacing w:line="360" w:lineRule="auto"/>
        <w:rPr>
          <w:sz w:val="22"/>
          <w:szCs w:val="22"/>
          <w:lang w:val="it-IT"/>
        </w:rPr>
      </w:pPr>
    </w:p>
    <w:p w14:paraId="119B02F0" w14:textId="77777777" w:rsidR="006137F2" w:rsidRPr="005B575D" w:rsidRDefault="006137F2" w:rsidP="006137F2">
      <w:pPr>
        <w:pStyle w:val="Default"/>
        <w:jc w:val="both"/>
        <w:rPr>
          <w:rFonts w:asciiTheme="minorHAnsi" w:hAnsiTheme="minorHAnsi" w:cstheme="minorHAnsi"/>
          <w:bCs/>
          <w:sz w:val="18"/>
          <w:szCs w:val="18"/>
          <w:lang w:val="it-IT"/>
        </w:rPr>
      </w:pPr>
      <w:r w:rsidRPr="005B575D">
        <w:rPr>
          <w:rFonts w:asciiTheme="minorHAnsi" w:eastAsiaTheme="minorEastAsia" w:hAnsiTheme="minorHAnsi" w:cstheme="minorHAnsi"/>
          <w:b/>
          <w:bCs/>
          <w:color w:val="auto"/>
          <w:sz w:val="18"/>
          <w:szCs w:val="18"/>
          <w:lang w:val="it-IT"/>
        </w:rPr>
        <w:t>DESTINY-Breast03 </w:t>
      </w:r>
    </w:p>
    <w:p w14:paraId="02CC7680" w14:textId="1B603C7B" w:rsidR="006137F2" w:rsidRPr="005B575D" w:rsidRDefault="006137F2" w:rsidP="006137F2">
      <w:pPr>
        <w:pStyle w:val="Default"/>
        <w:jc w:val="both"/>
        <w:rPr>
          <w:rFonts w:asciiTheme="minorHAnsi" w:hAnsiTheme="minorHAnsi" w:cstheme="minorHAnsi"/>
          <w:bCs/>
          <w:sz w:val="18"/>
          <w:szCs w:val="18"/>
          <w:lang w:val="it-IT"/>
        </w:rPr>
      </w:pPr>
      <w:r w:rsidRPr="005B575D">
        <w:rPr>
          <w:rFonts w:asciiTheme="minorHAnsi" w:hAnsiTheme="minorHAnsi" w:cstheme="minorHAnsi"/>
          <w:bCs/>
          <w:sz w:val="18"/>
          <w:szCs w:val="18"/>
          <w:lang w:val="it-IT"/>
        </w:rPr>
        <w:lastRenderedPageBreak/>
        <w:t xml:space="preserve">DESTINY-Breast03 è uno studio registrativo globale di fase 3, head-to-head, randomizzato, in aperto, che valuta la sicurezza e l'efficacia di </w:t>
      </w:r>
      <w:r w:rsidRPr="005B575D">
        <w:rPr>
          <w:rFonts w:asciiTheme="minorHAnsi" w:hAnsiTheme="minorHAnsi" w:cstheme="minorHAnsi"/>
          <w:sz w:val="18"/>
          <w:szCs w:val="18"/>
          <w:lang w:val="it-IT"/>
        </w:rPr>
        <w:t>trastuzumab deruxtecan</w:t>
      </w:r>
      <w:r w:rsidRPr="005B575D">
        <w:rPr>
          <w:rFonts w:asciiTheme="minorHAnsi" w:hAnsiTheme="minorHAnsi" w:cstheme="minorHAnsi"/>
          <w:bCs/>
          <w:sz w:val="18"/>
          <w:szCs w:val="18"/>
          <w:lang w:val="it-IT"/>
        </w:rPr>
        <w:t xml:space="preserve"> (5,4 mg/kg) rispetto a T-DM1, in pazienti con carcinoma mammario HER2-positivo non resecabile e/o metastatico precedentemente trattato con trastuzumab e </w:t>
      </w:r>
      <w:r w:rsidR="00B51097">
        <w:rPr>
          <w:rFonts w:asciiTheme="minorHAnsi" w:hAnsiTheme="minorHAnsi" w:cstheme="minorHAnsi"/>
          <w:bCs/>
          <w:sz w:val="18"/>
          <w:szCs w:val="18"/>
          <w:lang w:val="it-IT"/>
        </w:rPr>
        <w:t xml:space="preserve">un </w:t>
      </w:r>
      <w:r w:rsidRPr="005B575D">
        <w:rPr>
          <w:rFonts w:asciiTheme="minorHAnsi" w:hAnsiTheme="minorHAnsi" w:cstheme="minorHAnsi"/>
          <w:bCs/>
          <w:sz w:val="18"/>
          <w:szCs w:val="18"/>
          <w:lang w:val="it-IT"/>
        </w:rPr>
        <w:t xml:space="preserve">taxano. </w:t>
      </w:r>
    </w:p>
    <w:p w14:paraId="78EAC0A6" w14:textId="77777777" w:rsidR="006137F2" w:rsidRPr="005B575D" w:rsidRDefault="006137F2" w:rsidP="006137F2">
      <w:pPr>
        <w:pStyle w:val="Default"/>
        <w:jc w:val="both"/>
        <w:rPr>
          <w:rFonts w:asciiTheme="minorHAnsi" w:hAnsiTheme="minorHAnsi" w:cstheme="minorHAnsi"/>
          <w:bCs/>
          <w:sz w:val="18"/>
          <w:szCs w:val="18"/>
          <w:lang w:val="it-IT"/>
        </w:rPr>
      </w:pPr>
    </w:p>
    <w:p w14:paraId="60ED8A54" w14:textId="6845CE72" w:rsidR="006137F2" w:rsidRPr="000F430E" w:rsidRDefault="006137F2" w:rsidP="006137F2">
      <w:pPr>
        <w:pStyle w:val="Default"/>
        <w:jc w:val="both"/>
        <w:rPr>
          <w:rFonts w:asciiTheme="minorHAnsi" w:hAnsiTheme="minorHAnsi" w:cstheme="minorHAnsi"/>
          <w:bCs/>
          <w:sz w:val="18"/>
          <w:szCs w:val="18"/>
          <w:lang w:val="it-IT"/>
        </w:rPr>
      </w:pPr>
      <w:r w:rsidRPr="005B575D">
        <w:rPr>
          <w:rFonts w:asciiTheme="minorHAnsi" w:hAnsiTheme="minorHAnsi" w:cstheme="minorHAnsi"/>
          <w:bCs/>
          <w:sz w:val="18"/>
          <w:szCs w:val="18"/>
          <w:lang w:val="it-IT"/>
        </w:rPr>
        <w:t>L'endpoint primario di efficacia dello studio DESTINY-Breast03 è la sopravvivenza libera da progressione (PFS), definita come tempo dalla randomizzazione alla prima documentazione oggettiva di progressione radiografica della malattia o morte per qualsiasi causa, basata su una revisione centrale indipendente in cieco (BICR).</w:t>
      </w:r>
      <w:r w:rsidR="000D738B" w:rsidRPr="005B575D">
        <w:rPr>
          <w:rFonts w:asciiTheme="minorHAnsi" w:hAnsiTheme="minorHAnsi" w:cstheme="minorHAnsi"/>
          <w:bCs/>
          <w:sz w:val="18"/>
          <w:szCs w:val="18"/>
          <w:lang w:val="it-IT"/>
        </w:rPr>
        <w:t xml:space="preserve"> La sopravvivenza globale era una misura dei risultati di efficacia come endpoint secondario</w:t>
      </w:r>
      <w:r w:rsidR="00B51097" w:rsidRPr="00B51097">
        <w:rPr>
          <w:rFonts w:asciiTheme="minorHAnsi" w:hAnsiTheme="minorHAnsi" w:cstheme="minorHAnsi"/>
          <w:bCs/>
          <w:sz w:val="18"/>
          <w:szCs w:val="18"/>
          <w:lang w:val="it-IT"/>
        </w:rPr>
        <w:t xml:space="preserve"> </w:t>
      </w:r>
      <w:r w:rsidR="00B51097" w:rsidRPr="005B575D">
        <w:rPr>
          <w:rFonts w:asciiTheme="minorHAnsi" w:hAnsiTheme="minorHAnsi" w:cstheme="minorHAnsi"/>
          <w:bCs/>
          <w:sz w:val="18"/>
          <w:szCs w:val="18"/>
          <w:lang w:val="it-IT"/>
        </w:rPr>
        <w:t>chiave</w:t>
      </w:r>
      <w:r w:rsidR="000D738B" w:rsidRPr="005B575D">
        <w:rPr>
          <w:rFonts w:asciiTheme="minorHAnsi" w:hAnsiTheme="minorHAnsi" w:cstheme="minorHAnsi"/>
          <w:bCs/>
          <w:sz w:val="18"/>
          <w:szCs w:val="18"/>
          <w:lang w:val="it-IT"/>
        </w:rPr>
        <w:t xml:space="preserve">. Altri endpoint </w:t>
      </w:r>
      <w:r w:rsidR="00B51097" w:rsidRPr="005B575D">
        <w:rPr>
          <w:rFonts w:asciiTheme="minorHAnsi" w:hAnsiTheme="minorHAnsi" w:cstheme="minorHAnsi"/>
          <w:bCs/>
          <w:sz w:val="18"/>
          <w:szCs w:val="18"/>
          <w:lang w:val="it-IT"/>
        </w:rPr>
        <w:t xml:space="preserve">secondari </w:t>
      </w:r>
      <w:r w:rsidR="000D738B" w:rsidRPr="005B575D">
        <w:rPr>
          <w:rFonts w:asciiTheme="minorHAnsi" w:hAnsiTheme="minorHAnsi" w:cstheme="minorHAnsi"/>
          <w:bCs/>
          <w:sz w:val="18"/>
          <w:szCs w:val="18"/>
          <w:lang w:val="it-IT"/>
        </w:rPr>
        <w:t>chiave erano</w:t>
      </w:r>
      <w:r w:rsidRPr="005B575D">
        <w:rPr>
          <w:rFonts w:asciiTheme="minorHAnsi" w:hAnsiTheme="minorHAnsi" w:cstheme="minorHAnsi"/>
          <w:bCs/>
          <w:sz w:val="18"/>
          <w:szCs w:val="18"/>
          <w:lang w:val="it-IT"/>
        </w:rPr>
        <w:t xml:space="preserve"> il tasso di risposta obiettiva (ORR), la durata della risposta</w:t>
      </w:r>
      <w:r w:rsidR="00B51097">
        <w:rPr>
          <w:rFonts w:asciiTheme="minorHAnsi" w:hAnsiTheme="minorHAnsi" w:cstheme="minorHAnsi"/>
          <w:bCs/>
          <w:sz w:val="18"/>
          <w:szCs w:val="18"/>
          <w:lang w:val="it-IT"/>
        </w:rPr>
        <w:t xml:space="preserve"> (DoR)</w:t>
      </w:r>
      <w:r w:rsidRPr="005B575D">
        <w:rPr>
          <w:rFonts w:asciiTheme="minorHAnsi" w:hAnsiTheme="minorHAnsi" w:cstheme="minorHAnsi"/>
          <w:bCs/>
          <w:sz w:val="18"/>
          <w:szCs w:val="18"/>
          <w:lang w:val="it-IT"/>
        </w:rPr>
        <w:t>, la PFS basata sulla valutazione dello sperimentatore</w:t>
      </w:r>
      <w:r w:rsidR="008E2C7B" w:rsidRPr="000F430E">
        <w:rPr>
          <w:rFonts w:asciiTheme="minorHAnsi" w:hAnsiTheme="minorHAnsi" w:cstheme="minorHAnsi"/>
          <w:bCs/>
          <w:sz w:val="18"/>
          <w:szCs w:val="18"/>
          <w:lang w:val="it-IT"/>
        </w:rPr>
        <w:t>,</w:t>
      </w:r>
      <w:r w:rsidR="00103B85" w:rsidRPr="000F430E">
        <w:rPr>
          <w:rFonts w:asciiTheme="minorHAnsi" w:hAnsiTheme="minorHAnsi" w:cstheme="minorHAnsi"/>
          <w:bCs/>
          <w:sz w:val="18"/>
          <w:szCs w:val="18"/>
          <w:lang w:val="it-IT"/>
        </w:rPr>
        <w:t xml:space="preserve"> e la sicurezza</w:t>
      </w:r>
      <w:r w:rsidRPr="000F430E">
        <w:rPr>
          <w:rFonts w:asciiTheme="minorHAnsi" w:hAnsiTheme="minorHAnsi" w:cstheme="minorHAnsi"/>
          <w:bCs/>
          <w:sz w:val="18"/>
          <w:szCs w:val="18"/>
          <w:lang w:val="it-IT"/>
        </w:rPr>
        <w:t xml:space="preserve">. </w:t>
      </w:r>
      <w:r w:rsidR="00B51097" w:rsidRPr="000F430E">
        <w:rPr>
          <w:rFonts w:asciiTheme="minorHAnsi" w:hAnsiTheme="minorHAnsi" w:cstheme="minorHAnsi"/>
          <w:bCs/>
          <w:sz w:val="18"/>
          <w:szCs w:val="18"/>
          <w:lang w:val="it-IT"/>
        </w:rPr>
        <w:t xml:space="preserve">  </w:t>
      </w:r>
    </w:p>
    <w:p w14:paraId="13E0AA2F" w14:textId="77777777" w:rsidR="006137F2" w:rsidRPr="000F430E" w:rsidRDefault="006137F2" w:rsidP="006137F2">
      <w:pPr>
        <w:pStyle w:val="Default"/>
        <w:jc w:val="both"/>
        <w:rPr>
          <w:rFonts w:asciiTheme="minorHAnsi" w:hAnsiTheme="minorHAnsi" w:cstheme="minorHAnsi"/>
          <w:bCs/>
          <w:sz w:val="18"/>
          <w:szCs w:val="18"/>
          <w:lang w:val="it-IT"/>
        </w:rPr>
      </w:pPr>
    </w:p>
    <w:p w14:paraId="2CED959B" w14:textId="6C42F872" w:rsidR="006137F2" w:rsidRPr="000F430E" w:rsidRDefault="006137F2" w:rsidP="006137F2">
      <w:pPr>
        <w:pStyle w:val="Default"/>
        <w:jc w:val="both"/>
        <w:rPr>
          <w:rFonts w:asciiTheme="minorHAnsi" w:hAnsiTheme="minorHAnsi" w:cstheme="minorHAnsi"/>
          <w:bCs/>
          <w:sz w:val="18"/>
          <w:szCs w:val="18"/>
          <w:lang w:val="it-IT"/>
        </w:rPr>
      </w:pPr>
      <w:r w:rsidRPr="000F430E">
        <w:rPr>
          <w:rFonts w:asciiTheme="minorHAnsi" w:hAnsiTheme="minorHAnsi" w:cstheme="minorHAnsi"/>
          <w:bCs/>
          <w:sz w:val="18"/>
          <w:szCs w:val="18"/>
          <w:lang w:val="it-IT"/>
        </w:rPr>
        <w:t xml:space="preserve">DESTINY-Breast03 ha arruolato 524 pazienti in diversi centri in Asia, Europa, Nord America, Oceania e Sud America. I </w:t>
      </w:r>
      <w:r w:rsidR="008E2C7B" w:rsidRPr="000F430E">
        <w:rPr>
          <w:rFonts w:asciiTheme="minorHAnsi" w:hAnsiTheme="minorHAnsi" w:cstheme="minorHAnsi"/>
          <w:bCs/>
          <w:sz w:val="18"/>
          <w:szCs w:val="18"/>
          <w:lang w:val="it-IT"/>
        </w:rPr>
        <w:t xml:space="preserve">primi </w:t>
      </w:r>
      <w:r w:rsidRPr="000F430E">
        <w:rPr>
          <w:rFonts w:asciiTheme="minorHAnsi" w:hAnsiTheme="minorHAnsi" w:cstheme="minorHAnsi"/>
          <w:bCs/>
          <w:sz w:val="18"/>
          <w:szCs w:val="18"/>
          <w:lang w:val="it-IT"/>
        </w:rPr>
        <w:t xml:space="preserve">risultati dello studio DESTINY-Breast03 sono stati pubblicati sul </w:t>
      </w:r>
      <w:hyperlink r:id="rId9" w:history="1">
        <w:r w:rsidRPr="000F430E">
          <w:rPr>
            <w:rStyle w:val="Collegamentoipertestuale"/>
            <w:rFonts w:asciiTheme="minorHAnsi" w:hAnsiTheme="minorHAnsi" w:cstheme="minorHAnsi"/>
            <w:i/>
            <w:iCs/>
            <w:sz w:val="18"/>
            <w:szCs w:val="18"/>
            <w:lang w:val="it-IT"/>
          </w:rPr>
          <w:t>The</w:t>
        </w:r>
        <w:r w:rsidRPr="000F430E">
          <w:rPr>
            <w:rStyle w:val="Collegamentoipertestuale"/>
            <w:rFonts w:asciiTheme="minorHAnsi" w:hAnsiTheme="minorHAnsi" w:cstheme="minorHAnsi"/>
            <w:sz w:val="18"/>
            <w:szCs w:val="18"/>
            <w:lang w:val="it-IT"/>
          </w:rPr>
          <w:t xml:space="preserve"> </w:t>
        </w:r>
        <w:r w:rsidRPr="000F430E">
          <w:rPr>
            <w:rStyle w:val="Collegamentoipertestuale"/>
            <w:rFonts w:asciiTheme="minorHAnsi" w:hAnsiTheme="minorHAnsi" w:cstheme="minorHAnsi"/>
            <w:i/>
            <w:iCs/>
            <w:sz w:val="18"/>
            <w:szCs w:val="18"/>
            <w:lang w:val="it-IT"/>
          </w:rPr>
          <w:t>New England Journal of Medicine</w:t>
        </w:r>
      </w:hyperlink>
      <w:r w:rsidR="008E2C7B" w:rsidRPr="000F430E">
        <w:rPr>
          <w:rStyle w:val="Collegamentoipertestuale"/>
          <w:rFonts w:asciiTheme="minorHAnsi" w:hAnsiTheme="minorHAnsi" w:cstheme="minorHAnsi"/>
          <w:i/>
          <w:iCs/>
          <w:sz w:val="18"/>
          <w:szCs w:val="18"/>
          <w:lang w:val="it-IT"/>
        </w:rPr>
        <w:t xml:space="preserve">, </w:t>
      </w:r>
      <w:r w:rsidR="008E2C7B" w:rsidRPr="000F430E">
        <w:rPr>
          <w:rFonts w:asciiTheme="minorHAnsi" w:hAnsiTheme="minorHAnsi" w:cstheme="minorHAnsi"/>
          <w:bCs/>
          <w:sz w:val="18"/>
          <w:szCs w:val="18"/>
          <w:lang w:val="it-IT"/>
        </w:rPr>
        <w:t xml:space="preserve">e ulteriori aggiornamenti sui dati di sopravvivenza globale sono stati pubblicati su </w:t>
      </w:r>
      <w:hyperlink r:id="rId10" w:history="1">
        <w:r w:rsidR="008E2C7B" w:rsidRPr="000F430E">
          <w:rPr>
            <w:rStyle w:val="Collegamentoipertestuale"/>
            <w:rFonts w:eastAsiaTheme="minorEastAsia"/>
            <w:i/>
            <w:iCs/>
            <w:sz w:val="22"/>
            <w:szCs w:val="22"/>
            <w:lang w:val="it-IT"/>
          </w:rPr>
          <w:t>The Lancet</w:t>
        </w:r>
      </w:hyperlink>
      <w:r w:rsidR="008E2C7B" w:rsidRPr="000F430E">
        <w:rPr>
          <w:rFonts w:eastAsiaTheme="minorEastAsia"/>
          <w:sz w:val="22"/>
          <w:szCs w:val="22"/>
          <w:lang w:val="it-IT"/>
        </w:rPr>
        <w:t>.</w:t>
      </w:r>
      <w:r w:rsidR="008E2C7B" w:rsidRPr="000F430E">
        <w:rPr>
          <w:rFonts w:asciiTheme="minorHAnsi" w:hAnsiTheme="minorHAnsi" w:cstheme="minorHAnsi"/>
          <w:bCs/>
          <w:sz w:val="18"/>
          <w:szCs w:val="18"/>
          <w:lang w:val="it-IT"/>
        </w:rPr>
        <w:t xml:space="preserve"> </w:t>
      </w:r>
      <w:r w:rsidRPr="000F430E">
        <w:rPr>
          <w:rFonts w:asciiTheme="minorHAnsi" w:hAnsiTheme="minorHAnsi" w:cstheme="minorHAnsi"/>
          <w:bCs/>
          <w:sz w:val="18"/>
          <w:szCs w:val="18"/>
          <w:lang w:val="it-IT"/>
        </w:rPr>
        <w:t xml:space="preserve">Per ulteriori informazioni sulla sperimentazione, visita </w:t>
      </w:r>
      <w:hyperlink r:id="rId11" w:tgtFrame="_blank" w:history="1">
        <w:r w:rsidRPr="000F430E">
          <w:rPr>
            <w:rStyle w:val="Collegamentoipertestuale"/>
            <w:rFonts w:asciiTheme="minorHAnsi" w:hAnsiTheme="minorHAnsi" w:cstheme="minorHAnsi"/>
            <w:sz w:val="18"/>
            <w:szCs w:val="18"/>
            <w:lang w:val="it-IT"/>
          </w:rPr>
          <w:t>ClinicalTrials.gov</w:t>
        </w:r>
      </w:hyperlink>
      <w:r w:rsidRPr="000F430E">
        <w:rPr>
          <w:rFonts w:asciiTheme="minorHAnsi" w:hAnsiTheme="minorHAnsi" w:cstheme="minorHAnsi"/>
          <w:bCs/>
          <w:sz w:val="18"/>
          <w:szCs w:val="18"/>
          <w:lang w:val="it-IT"/>
        </w:rPr>
        <w:t>.</w:t>
      </w:r>
    </w:p>
    <w:p w14:paraId="4A6767EB" w14:textId="77777777" w:rsidR="00975D1C" w:rsidRPr="000F430E" w:rsidRDefault="00975D1C" w:rsidP="00474834">
      <w:pPr>
        <w:spacing w:line="360" w:lineRule="auto"/>
        <w:rPr>
          <w:rFonts w:cstheme="minorHAnsi"/>
          <w:sz w:val="18"/>
          <w:szCs w:val="18"/>
          <w:lang w:val="it-IT"/>
        </w:rPr>
      </w:pPr>
    </w:p>
    <w:p w14:paraId="724A3799" w14:textId="0CE60D15" w:rsidR="006137F2" w:rsidRPr="000F430E" w:rsidRDefault="00474834" w:rsidP="00975D1C">
      <w:pPr>
        <w:pStyle w:val="Default"/>
        <w:jc w:val="both"/>
        <w:rPr>
          <w:rFonts w:asciiTheme="minorHAnsi" w:eastAsiaTheme="minorEastAsia" w:hAnsiTheme="minorHAnsi" w:cstheme="minorHAnsi"/>
          <w:b/>
          <w:bCs/>
          <w:color w:val="auto"/>
          <w:sz w:val="18"/>
          <w:szCs w:val="18"/>
          <w:lang w:val="it-IT"/>
        </w:rPr>
      </w:pPr>
      <w:r w:rsidRPr="000F430E">
        <w:rPr>
          <w:rFonts w:asciiTheme="minorHAnsi" w:eastAsiaTheme="minorEastAsia" w:hAnsiTheme="minorHAnsi" w:cstheme="minorHAnsi"/>
          <w:b/>
          <w:bCs/>
          <w:color w:val="auto"/>
          <w:sz w:val="18"/>
          <w:szCs w:val="18"/>
          <w:lang w:val="it-IT"/>
        </w:rPr>
        <w:t>DESTINY-Breast02 </w:t>
      </w:r>
    </w:p>
    <w:p w14:paraId="6CF961DD" w14:textId="29FBD38E" w:rsidR="00975D1C" w:rsidRPr="000F430E" w:rsidRDefault="00975D1C" w:rsidP="00975D1C">
      <w:pPr>
        <w:pStyle w:val="Default"/>
        <w:jc w:val="both"/>
        <w:rPr>
          <w:rFonts w:asciiTheme="minorHAnsi" w:hAnsiTheme="minorHAnsi" w:cstheme="minorHAnsi"/>
          <w:bCs/>
          <w:sz w:val="18"/>
          <w:szCs w:val="18"/>
          <w:lang w:val="it-IT"/>
        </w:rPr>
      </w:pPr>
      <w:r w:rsidRPr="000F430E">
        <w:rPr>
          <w:rFonts w:asciiTheme="minorHAnsi" w:hAnsiTheme="minorHAnsi" w:cstheme="minorHAnsi"/>
          <w:bCs/>
          <w:sz w:val="18"/>
          <w:szCs w:val="18"/>
          <w:lang w:val="it-IT"/>
        </w:rPr>
        <w:t>DESTINY-Breast02 è uno studio</w:t>
      </w:r>
      <w:r w:rsidR="000D738B" w:rsidRPr="000F430E">
        <w:rPr>
          <w:rFonts w:asciiTheme="minorHAnsi" w:hAnsiTheme="minorHAnsi" w:cstheme="minorHAnsi"/>
          <w:bCs/>
          <w:sz w:val="18"/>
          <w:szCs w:val="18"/>
          <w:lang w:val="it-IT"/>
        </w:rPr>
        <w:t xml:space="preserve"> registrativo</w:t>
      </w:r>
      <w:r w:rsidRPr="000F430E">
        <w:rPr>
          <w:rFonts w:asciiTheme="minorHAnsi" w:hAnsiTheme="minorHAnsi" w:cstheme="minorHAnsi"/>
          <w:bCs/>
          <w:sz w:val="18"/>
          <w:szCs w:val="18"/>
          <w:lang w:val="it-IT"/>
        </w:rPr>
        <w:t xml:space="preserve"> globale, randomizzato, in aperto, di fase 3 che valuta l'efficacia e la sicurezza di </w:t>
      </w:r>
      <w:r w:rsidR="000D738B" w:rsidRPr="000F430E">
        <w:rPr>
          <w:rFonts w:asciiTheme="minorHAnsi" w:hAnsiTheme="minorHAnsi" w:cstheme="minorHAnsi"/>
          <w:bCs/>
          <w:sz w:val="18"/>
          <w:szCs w:val="18"/>
          <w:lang w:val="it-IT"/>
        </w:rPr>
        <w:t>trastuzumab deruxtecan</w:t>
      </w:r>
      <w:r w:rsidRPr="000F430E">
        <w:rPr>
          <w:rFonts w:asciiTheme="minorHAnsi" w:hAnsiTheme="minorHAnsi" w:cstheme="minorHAnsi"/>
          <w:bCs/>
          <w:sz w:val="18"/>
          <w:szCs w:val="18"/>
          <w:lang w:val="it-IT"/>
        </w:rPr>
        <w:t xml:space="preserve"> (5,4 mg/kg) rispetto al trattamento a scelta del medico (trastuzumab/capecitabina o lapatinib/capecitabina) in pazienti con carcinoma mammario HER2</w:t>
      </w:r>
      <w:r w:rsidR="000D738B" w:rsidRPr="000F430E">
        <w:rPr>
          <w:rFonts w:asciiTheme="minorHAnsi" w:hAnsiTheme="minorHAnsi" w:cstheme="minorHAnsi"/>
          <w:bCs/>
          <w:sz w:val="18"/>
          <w:szCs w:val="18"/>
          <w:lang w:val="it-IT"/>
        </w:rPr>
        <w:t>-</w:t>
      </w:r>
      <w:r w:rsidRPr="000F430E">
        <w:rPr>
          <w:rFonts w:asciiTheme="minorHAnsi" w:hAnsiTheme="minorHAnsi" w:cstheme="minorHAnsi"/>
          <w:bCs/>
          <w:sz w:val="18"/>
          <w:szCs w:val="18"/>
          <w:lang w:val="it-IT"/>
        </w:rPr>
        <w:t xml:space="preserve">positivo non resecabile e/o metastatico precedentemente trattato con T-DM1. Le pazienti sono state randomizzate 2:1 per ricevere </w:t>
      </w:r>
      <w:r w:rsidR="000D738B" w:rsidRPr="000F430E">
        <w:rPr>
          <w:rFonts w:asciiTheme="minorHAnsi" w:hAnsiTheme="minorHAnsi" w:cstheme="minorHAnsi"/>
          <w:bCs/>
          <w:sz w:val="18"/>
          <w:szCs w:val="18"/>
          <w:lang w:val="it-IT"/>
        </w:rPr>
        <w:t>trastuzumab deruxtecan</w:t>
      </w:r>
      <w:r w:rsidRPr="000F430E">
        <w:rPr>
          <w:rFonts w:asciiTheme="minorHAnsi" w:hAnsiTheme="minorHAnsi" w:cstheme="minorHAnsi"/>
          <w:bCs/>
          <w:sz w:val="18"/>
          <w:szCs w:val="18"/>
          <w:lang w:val="it-IT"/>
        </w:rPr>
        <w:t xml:space="preserve"> o un trattamento a scelta del medico. </w:t>
      </w:r>
    </w:p>
    <w:p w14:paraId="362C5CFD" w14:textId="77777777" w:rsidR="00975D1C" w:rsidRPr="000F430E" w:rsidRDefault="00975D1C" w:rsidP="00975D1C">
      <w:pPr>
        <w:pStyle w:val="Default"/>
        <w:jc w:val="both"/>
        <w:rPr>
          <w:rFonts w:asciiTheme="minorHAnsi" w:eastAsiaTheme="minorEastAsia" w:hAnsiTheme="minorHAnsi" w:cstheme="minorHAnsi"/>
          <w:b/>
          <w:bCs/>
          <w:color w:val="auto"/>
          <w:sz w:val="18"/>
          <w:szCs w:val="18"/>
          <w:lang w:val="it-IT"/>
        </w:rPr>
      </w:pPr>
    </w:p>
    <w:p w14:paraId="5EF81992" w14:textId="7C65C244" w:rsidR="00975D1C" w:rsidRPr="000F430E" w:rsidRDefault="00975D1C" w:rsidP="00975D1C">
      <w:pPr>
        <w:pStyle w:val="Default"/>
        <w:jc w:val="both"/>
        <w:rPr>
          <w:rFonts w:asciiTheme="minorHAnsi" w:hAnsiTheme="minorHAnsi" w:cstheme="minorHAnsi"/>
          <w:bCs/>
          <w:sz w:val="18"/>
          <w:szCs w:val="18"/>
          <w:lang w:val="it-IT"/>
        </w:rPr>
      </w:pPr>
      <w:r w:rsidRPr="000F430E">
        <w:rPr>
          <w:rFonts w:asciiTheme="minorHAnsi" w:hAnsiTheme="minorHAnsi" w:cstheme="minorHAnsi"/>
          <w:bCs/>
          <w:sz w:val="18"/>
          <w:szCs w:val="18"/>
          <w:lang w:val="it-IT"/>
        </w:rPr>
        <w:t>L'endpoint primario di DESTINY-Breast02 è la PFS basata sul BICR. L'endpoint secondario principale è la OS. Altri endpoint secondari includono ORR basato sul BICR e sulla valutazione dello sperimentatore, DoR basato sul BICR, PFS basato sulla valutazione dello sperimentatore</w:t>
      </w:r>
      <w:r w:rsidR="000D738B" w:rsidRPr="000F430E">
        <w:rPr>
          <w:rFonts w:asciiTheme="minorHAnsi" w:hAnsiTheme="minorHAnsi" w:cstheme="minorHAnsi"/>
          <w:bCs/>
          <w:sz w:val="18"/>
          <w:szCs w:val="18"/>
          <w:lang w:val="it-IT"/>
        </w:rPr>
        <w:t xml:space="preserve">, </w:t>
      </w:r>
      <w:r w:rsidRPr="000F430E">
        <w:rPr>
          <w:rFonts w:asciiTheme="minorHAnsi" w:hAnsiTheme="minorHAnsi" w:cstheme="minorHAnsi"/>
          <w:bCs/>
          <w:sz w:val="18"/>
          <w:szCs w:val="18"/>
          <w:lang w:val="it-IT"/>
        </w:rPr>
        <w:t xml:space="preserve">e </w:t>
      </w:r>
      <w:r w:rsidR="000D738B" w:rsidRPr="000F430E">
        <w:rPr>
          <w:rFonts w:asciiTheme="minorHAnsi" w:hAnsiTheme="minorHAnsi" w:cstheme="minorHAnsi"/>
          <w:bCs/>
          <w:sz w:val="18"/>
          <w:szCs w:val="18"/>
          <w:lang w:val="it-IT"/>
        </w:rPr>
        <w:t xml:space="preserve">la </w:t>
      </w:r>
      <w:r w:rsidRPr="000F430E">
        <w:rPr>
          <w:rFonts w:asciiTheme="minorHAnsi" w:hAnsiTheme="minorHAnsi" w:cstheme="minorHAnsi"/>
          <w:bCs/>
          <w:sz w:val="18"/>
          <w:szCs w:val="18"/>
          <w:lang w:val="it-IT"/>
        </w:rPr>
        <w:t xml:space="preserve">sicurezza. </w:t>
      </w:r>
    </w:p>
    <w:p w14:paraId="6EF9D0B3" w14:textId="77777777" w:rsidR="00975D1C" w:rsidRPr="000F430E" w:rsidRDefault="00975D1C" w:rsidP="00975D1C">
      <w:pPr>
        <w:pStyle w:val="Default"/>
        <w:jc w:val="both"/>
        <w:rPr>
          <w:rFonts w:asciiTheme="minorHAnsi" w:hAnsiTheme="minorHAnsi" w:cstheme="minorHAnsi"/>
          <w:bCs/>
          <w:sz w:val="18"/>
          <w:szCs w:val="18"/>
          <w:lang w:val="it-IT"/>
        </w:rPr>
      </w:pPr>
    </w:p>
    <w:p w14:paraId="7090843E" w14:textId="60420C46" w:rsidR="00975D1C" w:rsidRPr="000F430E" w:rsidRDefault="00975D1C" w:rsidP="00975D1C">
      <w:pPr>
        <w:pStyle w:val="Default"/>
        <w:jc w:val="both"/>
        <w:rPr>
          <w:rStyle w:val="Collegamentoipertestuale"/>
          <w:rFonts w:asciiTheme="minorHAnsi" w:hAnsiTheme="minorHAnsi" w:cstheme="minorHAnsi"/>
          <w:sz w:val="18"/>
          <w:szCs w:val="18"/>
          <w:lang w:val="it-IT"/>
        </w:rPr>
      </w:pPr>
      <w:r w:rsidRPr="000F430E">
        <w:rPr>
          <w:rFonts w:asciiTheme="minorHAnsi" w:hAnsiTheme="minorHAnsi" w:cstheme="minorHAnsi"/>
          <w:bCs/>
          <w:sz w:val="18"/>
          <w:szCs w:val="18"/>
          <w:lang w:val="it-IT"/>
        </w:rPr>
        <w:t xml:space="preserve">DESTINY-Breast02 ha arruolato circa 600 pazienti in diversi siti in Asia, Europa, Nord America, Oceania e Sud America. Per ulteriori informazioni sullo studio, visita il sito </w:t>
      </w:r>
      <w:hyperlink r:id="rId12" w:history="1">
        <w:r w:rsidRPr="000F430E">
          <w:rPr>
            <w:rStyle w:val="Collegamentoipertestuale"/>
            <w:rFonts w:asciiTheme="minorHAnsi" w:hAnsiTheme="minorHAnsi" w:cstheme="minorHAnsi"/>
            <w:sz w:val="18"/>
            <w:szCs w:val="18"/>
            <w:lang w:val="it-IT"/>
          </w:rPr>
          <w:t>ClinicalTrials.gov</w:t>
        </w:r>
      </w:hyperlink>
    </w:p>
    <w:p w14:paraId="60DDB1C5" w14:textId="33F9B253" w:rsidR="008E2C7B" w:rsidRPr="000F430E" w:rsidRDefault="008E2C7B" w:rsidP="00975D1C">
      <w:pPr>
        <w:pStyle w:val="Default"/>
        <w:jc w:val="both"/>
        <w:rPr>
          <w:rFonts w:asciiTheme="minorHAnsi" w:hAnsiTheme="minorHAnsi" w:cstheme="minorHAnsi"/>
          <w:bCs/>
          <w:sz w:val="18"/>
          <w:szCs w:val="18"/>
          <w:lang w:val="it-IT"/>
        </w:rPr>
      </w:pPr>
    </w:p>
    <w:p w14:paraId="35BF6430" w14:textId="77777777" w:rsidR="005B575D" w:rsidRPr="000F430E" w:rsidRDefault="005B575D" w:rsidP="006137F2">
      <w:pPr>
        <w:pStyle w:val="NormaleWeb"/>
        <w:shd w:val="clear" w:color="auto" w:fill="FFFFFF"/>
        <w:spacing w:after="0"/>
        <w:textAlignment w:val="baseline"/>
        <w:rPr>
          <w:rFonts w:asciiTheme="minorHAnsi" w:hAnsiTheme="minorHAnsi" w:cstheme="minorHAnsi"/>
          <w:b/>
          <w:sz w:val="18"/>
          <w:szCs w:val="18"/>
          <w:lang w:val="it-IT"/>
        </w:rPr>
      </w:pPr>
    </w:p>
    <w:p w14:paraId="7EC21ADA" w14:textId="05CE3C96" w:rsidR="006137F2" w:rsidRPr="000F430E" w:rsidRDefault="006137F2" w:rsidP="009606CE">
      <w:pPr>
        <w:pStyle w:val="NormaleWeb"/>
        <w:shd w:val="clear" w:color="auto" w:fill="FFFFFF"/>
        <w:spacing w:after="0"/>
        <w:textAlignment w:val="baseline"/>
        <w:rPr>
          <w:rFonts w:asciiTheme="minorHAnsi" w:hAnsiTheme="minorHAnsi" w:cstheme="minorHAnsi"/>
          <w:b/>
          <w:sz w:val="18"/>
          <w:szCs w:val="18"/>
          <w:lang w:val="it-IT"/>
        </w:rPr>
      </w:pPr>
      <w:r w:rsidRPr="000F430E">
        <w:rPr>
          <w:rFonts w:asciiTheme="minorHAnsi" w:hAnsiTheme="minorHAnsi" w:cstheme="minorHAnsi"/>
          <w:b/>
          <w:sz w:val="18"/>
          <w:szCs w:val="18"/>
          <w:lang w:val="it-IT"/>
        </w:rPr>
        <w:t xml:space="preserve">Il </w:t>
      </w:r>
      <w:r w:rsidR="009D0452">
        <w:rPr>
          <w:rFonts w:asciiTheme="minorHAnsi" w:hAnsiTheme="minorHAnsi" w:cstheme="minorHAnsi"/>
          <w:b/>
          <w:sz w:val="18"/>
          <w:szCs w:val="18"/>
          <w:lang w:val="it-IT"/>
        </w:rPr>
        <w:t>c</w:t>
      </w:r>
      <w:r w:rsidRPr="000F430E">
        <w:rPr>
          <w:rFonts w:asciiTheme="minorHAnsi" w:hAnsiTheme="minorHAnsi" w:cstheme="minorHAnsi"/>
          <w:b/>
          <w:sz w:val="18"/>
          <w:szCs w:val="18"/>
          <w:lang w:val="it-IT"/>
        </w:rPr>
        <w:t>arcinoma mammario HER2 positivo</w:t>
      </w:r>
    </w:p>
    <w:p w14:paraId="412CD08E" w14:textId="3F55BC34" w:rsidR="006137F2" w:rsidRPr="000F430E" w:rsidRDefault="006137F2" w:rsidP="008E2C7B">
      <w:pPr>
        <w:jc w:val="both"/>
        <w:rPr>
          <w:rFonts w:eastAsia="MS Mincho"/>
          <w:lang w:val="it-IT" w:eastAsia="it-IT"/>
        </w:rPr>
      </w:pPr>
      <w:r w:rsidRPr="000F430E">
        <w:rPr>
          <w:rFonts w:eastAsia="Calibri" w:cstheme="minorHAnsi"/>
          <w:sz w:val="18"/>
          <w:szCs w:val="18"/>
          <w:bdr w:val="nil"/>
          <w:lang w:val="it-IT"/>
        </w:rPr>
        <w:t>Il carcinoma mammario resta il tumore più diffuso</w:t>
      </w:r>
      <w:r w:rsidRPr="000F430E">
        <w:rPr>
          <w:rFonts w:cstheme="minorHAnsi"/>
          <w:sz w:val="18"/>
          <w:szCs w:val="18"/>
          <w:lang w:val="it-IT"/>
        </w:rPr>
        <w:t xml:space="preserve"> </w:t>
      </w:r>
      <w:r w:rsidRPr="000F430E">
        <w:rPr>
          <w:rFonts w:eastAsia="Calibri" w:cstheme="minorHAnsi"/>
          <w:sz w:val="18"/>
          <w:szCs w:val="18"/>
          <w:bdr w:val="nil"/>
          <w:lang w:val="it-IT"/>
        </w:rPr>
        <w:t>ed è una delle principali cause di morte per cancro nel mondo.</w:t>
      </w:r>
      <w:r w:rsidR="008E2C7B" w:rsidRPr="000F430E">
        <w:rPr>
          <w:rStyle w:val="Rimandonotadichiusura"/>
          <w:sz w:val="22"/>
          <w:szCs w:val="22"/>
        </w:rPr>
        <w:endnoteReference w:id="1"/>
      </w:r>
      <w:r w:rsidR="008E2C7B" w:rsidRPr="000F430E">
        <w:rPr>
          <w:rFonts w:eastAsia="Calibri" w:cstheme="minorHAnsi"/>
          <w:sz w:val="18"/>
          <w:szCs w:val="18"/>
          <w:bdr w:val="nil"/>
          <w:lang w:val="it-IT"/>
        </w:rPr>
        <w:t xml:space="preserve"> </w:t>
      </w:r>
      <w:r w:rsidRPr="000F430E">
        <w:rPr>
          <w:rFonts w:eastAsia="Calibri" w:cstheme="minorHAnsi"/>
          <w:sz w:val="18"/>
          <w:szCs w:val="18"/>
          <w:bdr w:val="nil"/>
          <w:lang w:val="it-IT"/>
        </w:rPr>
        <w:t>Nel 2020 sono stati diagnosticati più di due milioni di casi di cancro al seno, con quasi 685.000 decessi a livello globale.</w:t>
      </w:r>
      <w:r w:rsidR="00CF3F1C">
        <w:rPr>
          <w:sz w:val="22"/>
          <w:szCs w:val="22"/>
          <w:vertAlign w:val="superscript"/>
          <w:lang w:val="it-IT"/>
        </w:rPr>
        <w:t>i</w:t>
      </w:r>
      <w:r w:rsidR="008E2C7B" w:rsidRPr="000F430E">
        <w:rPr>
          <w:rFonts w:eastAsia="Calibri" w:cstheme="minorHAnsi"/>
          <w:sz w:val="18"/>
          <w:szCs w:val="18"/>
          <w:bdr w:val="nil"/>
          <w:lang w:val="it-IT"/>
        </w:rPr>
        <w:t xml:space="preserve"> </w:t>
      </w:r>
      <w:r w:rsidRPr="000F430E">
        <w:rPr>
          <w:rFonts w:eastAsia="Calibri" w:cstheme="minorHAnsi"/>
          <w:sz w:val="18"/>
          <w:szCs w:val="18"/>
          <w:bdr w:val="nil"/>
          <w:lang w:val="it-IT"/>
        </w:rPr>
        <w:t>Circa un caso su cinque di cancro al seno è considerato HER2-positivo</w:t>
      </w:r>
      <w:r w:rsidRPr="000F430E">
        <w:rPr>
          <w:rFonts w:cstheme="minorHAnsi"/>
          <w:sz w:val="18"/>
          <w:szCs w:val="18"/>
          <w:shd w:val="clear" w:color="auto" w:fill="FFFFFF"/>
          <w:lang w:val="it-IT"/>
        </w:rPr>
        <w:t>.</w:t>
      </w:r>
      <w:r w:rsidR="00423281" w:rsidRPr="000F430E">
        <w:rPr>
          <w:rStyle w:val="Rimandonotadichiusura"/>
          <w:rFonts w:cstheme="minorHAnsi"/>
          <w:sz w:val="18"/>
          <w:szCs w:val="18"/>
        </w:rPr>
        <w:endnoteReference w:id="2"/>
      </w:r>
      <w:r w:rsidRPr="000F430E">
        <w:rPr>
          <w:rStyle w:val="Rimandonotadichiusura"/>
          <w:rFonts w:cstheme="minorHAnsi"/>
          <w:sz w:val="18"/>
          <w:szCs w:val="18"/>
          <w:shd w:val="clear" w:color="auto" w:fill="FFFFFF"/>
          <w:lang w:val="it-IT"/>
        </w:rPr>
        <w:t xml:space="preserve"> </w:t>
      </w:r>
    </w:p>
    <w:p w14:paraId="6F49A44F" w14:textId="77777777" w:rsidR="006137F2" w:rsidRPr="000F430E" w:rsidRDefault="006137F2" w:rsidP="009606CE">
      <w:pPr>
        <w:jc w:val="both"/>
        <w:rPr>
          <w:rFonts w:cstheme="minorHAnsi"/>
          <w:sz w:val="18"/>
          <w:szCs w:val="18"/>
          <w:lang w:val="it-IT"/>
        </w:rPr>
      </w:pPr>
    </w:p>
    <w:p w14:paraId="77316AE6" w14:textId="07CE3E97" w:rsidR="006137F2" w:rsidRPr="000F430E" w:rsidRDefault="006137F2" w:rsidP="009606CE">
      <w:pPr>
        <w:jc w:val="both"/>
        <w:rPr>
          <w:rFonts w:cstheme="minorHAnsi"/>
          <w:sz w:val="18"/>
          <w:szCs w:val="18"/>
          <w:shd w:val="clear" w:color="auto" w:fill="FFFFFF"/>
          <w:lang w:val="it-IT"/>
        </w:rPr>
      </w:pPr>
      <w:r w:rsidRPr="000F430E">
        <w:rPr>
          <w:rFonts w:cstheme="minorHAnsi"/>
          <w:sz w:val="18"/>
          <w:szCs w:val="18"/>
          <w:lang w:val="it-IT"/>
        </w:rPr>
        <w:t xml:space="preserve">HER2 è un recettore di membrana tirosin-chinasico espresso sulla superficie delle cellule di molti tipi di tumore, tra cui quello mammario, gastrico, polmonare e </w:t>
      </w:r>
      <w:r w:rsidR="00B51097" w:rsidRPr="000F430E">
        <w:rPr>
          <w:rFonts w:cstheme="minorHAnsi"/>
          <w:sz w:val="18"/>
          <w:szCs w:val="18"/>
          <w:lang w:val="it-IT"/>
        </w:rPr>
        <w:t>del colonretto</w:t>
      </w:r>
      <w:r w:rsidRPr="000F430E">
        <w:rPr>
          <w:rFonts w:cstheme="minorHAnsi"/>
          <w:sz w:val="18"/>
          <w:szCs w:val="18"/>
          <w:lang w:val="it-IT"/>
        </w:rPr>
        <w:t>.</w:t>
      </w:r>
      <w:r w:rsidR="00423281" w:rsidRPr="000F430E">
        <w:rPr>
          <w:rStyle w:val="Rimandonotadichiusura"/>
          <w:rFonts w:cstheme="minorHAnsi"/>
          <w:sz w:val="18"/>
          <w:szCs w:val="18"/>
          <w:shd w:val="clear" w:color="auto" w:fill="FFFFFF"/>
        </w:rPr>
        <w:endnoteReference w:id="3"/>
      </w:r>
      <w:r w:rsidRPr="000F430E">
        <w:rPr>
          <w:rStyle w:val="Rimandonotadichiusura"/>
          <w:rFonts w:cstheme="minorHAnsi"/>
          <w:sz w:val="18"/>
          <w:szCs w:val="18"/>
          <w:shd w:val="clear" w:color="auto" w:fill="FFFFFF"/>
          <w:lang w:val="it-IT"/>
        </w:rPr>
        <w:t xml:space="preserve"> </w:t>
      </w:r>
      <w:r w:rsidRPr="000F430E">
        <w:rPr>
          <w:rFonts w:cstheme="minorHAnsi"/>
          <w:sz w:val="18"/>
          <w:szCs w:val="18"/>
          <w:lang w:val="it-IT"/>
        </w:rPr>
        <w:t>L’ iper-espressione di HER2 può verificarsi come conseguenza di una alterazione del gene HER2 nota come amplificazione, ed è spesso associata ad una malattia aggressiva con una prognosi infausta nel carcinoma mammario.</w:t>
      </w:r>
      <w:r w:rsidR="00423281" w:rsidRPr="000F430E">
        <w:rPr>
          <w:rStyle w:val="Rimandonotadichiusura"/>
          <w:rFonts w:cstheme="minorHAnsi"/>
          <w:sz w:val="18"/>
          <w:szCs w:val="18"/>
          <w:shd w:val="clear" w:color="auto" w:fill="FFFFFF"/>
        </w:rPr>
        <w:endnoteReference w:id="4"/>
      </w:r>
    </w:p>
    <w:p w14:paraId="60B51242" w14:textId="5721FA78" w:rsidR="006137F2" w:rsidRPr="000F430E" w:rsidRDefault="006137F2" w:rsidP="009606CE">
      <w:pPr>
        <w:jc w:val="both"/>
        <w:rPr>
          <w:rFonts w:cstheme="minorHAnsi"/>
          <w:b/>
          <w:bCs/>
          <w:sz w:val="18"/>
          <w:szCs w:val="18"/>
          <w:shd w:val="clear" w:color="auto" w:fill="FFFFFF"/>
          <w:lang w:val="it-IT"/>
        </w:rPr>
      </w:pPr>
      <w:r w:rsidRPr="000F430E">
        <w:rPr>
          <w:rFonts w:cstheme="minorHAnsi"/>
          <w:sz w:val="18"/>
          <w:szCs w:val="18"/>
          <w:lang w:val="it-IT"/>
        </w:rPr>
        <w:t>Nonostante il trattamento iniziale con trastuzumab, pertuzumab e</w:t>
      </w:r>
      <w:r w:rsidR="006D56D8" w:rsidRPr="000F430E">
        <w:rPr>
          <w:rFonts w:cstheme="minorHAnsi"/>
          <w:sz w:val="18"/>
          <w:szCs w:val="18"/>
          <w:lang w:val="it-IT"/>
        </w:rPr>
        <w:t xml:space="preserve"> un</w:t>
      </w:r>
      <w:r w:rsidRPr="000F430E">
        <w:rPr>
          <w:rFonts w:cstheme="minorHAnsi"/>
          <w:sz w:val="18"/>
          <w:szCs w:val="18"/>
          <w:lang w:val="it-IT"/>
        </w:rPr>
        <w:t xml:space="preserve"> taxano, le pazienti con carcinoma mammario metastatico</w:t>
      </w:r>
      <w:r w:rsidR="00423281" w:rsidRPr="000F430E">
        <w:rPr>
          <w:rFonts w:cstheme="minorHAnsi"/>
          <w:sz w:val="18"/>
          <w:szCs w:val="18"/>
          <w:lang w:val="it-IT"/>
        </w:rPr>
        <w:t xml:space="preserve"> </w:t>
      </w:r>
      <w:r w:rsidRPr="000F430E">
        <w:rPr>
          <w:rFonts w:cstheme="minorHAnsi"/>
          <w:sz w:val="18"/>
          <w:szCs w:val="18"/>
          <w:lang w:val="it-IT"/>
        </w:rPr>
        <w:t>HER2-positivo vanno spesso incontro a progressione della malattia.</w:t>
      </w:r>
      <w:r w:rsidR="00423281" w:rsidRPr="000F430E">
        <w:rPr>
          <w:rFonts w:cstheme="minorHAnsi"/>
          <w:sz w:val="18"/>
          <w:szCs w:val="18"/>
          <w:vertAlign w:val="superscript"/>
        </w:rPr>
        <w:endnoteReference w:id="5"/>
      </w:r>
      <w:r w:rsidR="00423281" w:rsidRPr="000F430E">
        <w:rPr>
          <w:rFonts w:cstheme="minorHAnsi"/>
          <w:sz w:val="18"/>
          <w:szCs w:val="18"/>
          <w:vertAlign w:val="superscript"/>
          <w:lang w:val="it-IT"/>
        </w:rPr>
        <w:t>,</w:t>
      </w:r>
      <w:r w:rsidR="00423281" w:rsidRPr="000F430E">
        <w:rPr>
          <w:rStyle w:val="Rimandonotadichiusura"/>
          <w:rFonts w:cstheme="minorHAnsi"/>
          <w:sz w:val="18"/>
          <w:szCs w:val="18"/>
        </w:rPr>
        <w:endnoteReference w:id="6"/>
      </w:r>
    </w:p>
    <w:p w14:paraId="73BB05D4" w14:textId="77777777" w:rsidR="006548AD" w:rsidRPr="000F430E" w:rsidRDefault="006548AD" w:rsidP="009606CE">
      <w:pPr>
        <w:pStyle w:val="Default"/>
        <w:jc w:val="both"/>
        <w:rPr>
          <w:rFonts w:asciiTheme="minorHAnsi" w:hAnsiTheme="minorHAnsi" w:cstheme="minorHAnsi"/>
          <w:bCs/>
          <w:sz w:val="18"/>
          <w:szCs w:val="18"/>
          <w:lang w:val="it-IT"/>
        </w:rPr>
      </w:pPr>
    </w:p>
    <w:p w14:paraId="24FE3140" w14:textId="435D96A8" w:rsidR="009606CE" w:rsidRPr="000F430E" w:rsidRDefault="006548AD" w:rsidP="009606CE">
      <w:pPr>
        <w:pStyle w:val="NormaleWeb"/>
        <w:shd w:val="clear" w:color="auto" w:fill="FFFFFF"/>
        <w:spacing w:after="0"/>
        <w:jc w:val="both"/>
        <w:textAlignment w:val="baseline"/>
        <w:rPr>
          <w:rFonts w:asciiTheme="minorHAnsi" w:eastAsiaTheme="minorHAnsi" w:hAnsiTheme="minorHAnsi" w:cstheme="minorHAnsi"/>
          <w:bCs/>
          <w:sz w:val="18"/>
          <w:szCs w:val="18"/>
          <w:lang w:val="it-IT"/>
        </w:rPr>
      </w:pPr>
      <w:r w:rsidRPr="000F430E">
        <w:rPr>
          <w:rFonts w:asciiTheme="minorHAnsi" w:eastAsiaTheme="minorHAnsi" w:hAnsiTheme="minorHAnsi" w:cstheme="minorHAnsi"/>
          <w:b/>
          <w:bCs/>
          <w:sz w:val="18"/>
          <w:szCs w:val="18"/>
          <w:lang w:val="it-IT"/>
        </w:rPr>
        <w:t>Trastuzumab deruxtecan</w:t>
      </w:r>
      <w:r w:rsidRPr="000F430E">
        <w:rPr>
          <w:rFonts w:asciiTheme="minorHAnsi" w:eastAsiaTheme="minorHAnsi" w:hAnsiTheme="minorHAnsi" w:cstheme="minorHAnsi"/>
          <w:bCs/>
          <w:sz w:val="18"/>
          <w:szCs w:val="18"/>
          <w:lang w:val="it-IT"/>
        </w:rPr>
        <w:t xml:space="preserve"> è un anticorpo farmaco-coniugato (ADC) specifico per il recettore HER2. Realizzato con l’impiego della tecnologia DXd brevettata da Daiichi Sankyo, trastuzumab deruxtecan è l’ADC leader del portfolio oncologico di Daiichi Sankyo e il programma più avanzato nella piattaforma scientifica degli ADC di AstraZeneca. È costituito da un anticorpo monoclonale coniugato con un legame stabile ad un inibitore della topoisomerasi I, un derivato dell’exatecan, tramite un linker tetrapeptidico clivabile in maniera selettiva all’interno della cellula tumorale.</w:t>
      </w:r>
    </w:p>
    <w:p w14:paraId="7869961A" w14:textId="77777777" w:rsidR="009606CE" w:rsidRPr="000F430E" w:rsidRDefault="009606CE" w:rsidP="009606CE">
      <w:pPr>
        <w:pStyle w:val="NormaleWeb"/>
        <w:shd w:val="clear" w:color="auto" w:fill="FFFFFF"/>
        <w:spacing w:after="0"/>
        <w:jc w:val="both"/>
        <w:textAlignment w:val="baseline"/>
        <w:rPr>
          <w:rFonts w:asciiTheme="minorHAnsi" w:eastAsiaTheme="minorHAnsi" w:hAnsiTheme="minorHAnsi" w:cstheme="minorHAnsi"/>
          <w:bCs/>
          <w:sz w:val="18"/>
          <w:szCs w:val="18"/>
          <w:lang w:val="it-IT"/>
        </w:rPr>
      </w:pPr>
    </w:p>
    <w:p w14:paraId="483ED533" w14:textId="1B5B2358" w:rsidR="006548AD" w:rsidRPr="000F430E" w:rsidRDefault="006548AD" w:rsidP="009606CE">
      <w:pPr>
        <w:pStyle w:val="NormaleWeb"/>
        <w:shd w:val="clear" w:color="auto" w:fill="FFFFFF"/>
        <w:spacing w:after="0"/>
        <w:jc w:val="both"/>
        <w:textAlignment w:val="baseline"/>
        <w:rPr>
          <w:rFonts w:asciiTheme="minorHAnsi" w:eastAsiaTheme="minorHAnsi" w:hAnsiTheme="minorHAnsi" w:cstheme="minorHAnsi"/>
          <w:bCs/>
          <w:sz w:val="18"/>
          <w:szCs w:val="18"/>
          <w:lang w:val="it-IT"/>
        </w:rPr>
      </w:pPr>
      <w:r w:rsidRPr="000F430E">
        <w:rPr>
          <w:rFonts w:asciiTheme="minorHAnsi" w:hAnsiTheme="minorHAnsi" w:cstheme="minorHAnsi"/>
          <w:sz w:val="18"/>
          <w:szCs w:val="18"/>
          <w:lang w:val="it-IT"/>
        </w:rPr>
        <w:t>Trastuzumab deruxtecan</w:t>
      </w:r>
      <w:r w:rsidRPr="000F430E">
        <w:rPr>
          <w:rFonts w:asciiTheme="minorHAnsi" w:hAnsiTheme="minorHAnsi" w:cstheme="minorHAnsi"/>
          <w:color w:val="000000" w:themeColor="text1"/>
          <w:sz w:val="18"/>
          <w:szCs w:val="18"/>
          <w:lang w:val="it-IT"/>
        </w:rPr>
        <w:t xml:space="preserve"> (5,4 mg/kg) è stato approvato </w:t>
      </w:r>
      <w:r w:rsidRPr="000F430E">
        <w:rPr>
          <w:rFonts w:asciiTheme="minorHAnsi" w:eastAsiaTheme="minorHAnsi" w:hAnsiTheme="minorHAnsi" w:cstheme="minorHAnsi"/>
          <w:bCs/>
          <w:sz w:val="18"/>
          <w:szCs w:val="18"/>
          <w:lang w:val="it-IT"/>
        </w:rPr>
        <w:t>in più di 3</w:t>
      </w:r>
      <w:r w:rsidR="003F0B63" w:rsidRPr="000F430E">
        <w:rPr>
          <w:rFonts w:asciiTheme="minorHAnsi" w:eastAsiaTheme="minorHAnsi" w:hAnsiTheme="minorHAnsi" w:cstheme="minorHAnsi"/>
          <w:bCs/>
          <w:sz w:val="18"/>
          <w:szCs w:val="18"/>
          <w:lang w:val="it-IT"/>
        </w:rPr>
        <w:t>5</w:t>
      </w:r>
      <w:r w:rsidRPr="000F430E">
        <w:rPr>
          <w:rFonts w:asciiTheme="minorHAnsi" w:eastAsiaTheme="minorHAnsi" w:hAnsiTheme="minorHAnsi" w:cstheme="minorHAnsi"/>
          <w:bCs/>
          <w:sz w:val="18"/>
          <w:szCs w:val="18"/>
          <w:lang w:val="it-IT"/>
        </w:rPr>
        <w:t xml:space="preserve"> Paesi per il trattamento di pazienti adulte con carcinoma mammario HER2</w:t>
      </w:r>
      <w:r w:rsidR="003F0B63" w:rsidRPr="000F430E">
        <w:rPr>
          <w:rFonts w:asciiTheme="minorHAnsi" w:eastAsiaTheme="minorHAnsi" w:hAnsiTheme="minorHAnsi" w:cstheme="minorHAnsi"/>
          <w:bCs/>
          <w:sz w:val="18"/>
          <w:szCs w:val="18"/>
          <w:lang w:val="it-IT"/>
        </w:rPr>
        <w:t>-</w:t>
      </w:r>
      <w:r w:rsidRPr="000F430E">
        <w:rPr>
          <w:rFonts w:asciiTheme="minorHAnsi" w:eastAsiaTheme="minorHAnsi" w:hAnsiTheme="minorHAnsi" w:cstheme="minorHAnsi"/>
          <w:bCs/>
          <w:sz w:val="18"/>
          <w:szCs w:val="18"/>
          <w:lang w:val="it-IT"/>
        </w:rPr>
        <w:t>positivo non resecabile o metastatico che hanno ricevuto un</w:t>
      </w:r>
      <w:r w:rsidR="003F0B63" w:rsidRPr="000F430E">
        <w:rPr>
          <w:rFonts w:asciiTheme="minorHAnsi" w:eastAsiaTheme="minorHAnsi" w:hAnsiTheme="minorHAnsi" w:cstheme="minorHAnsi"/>
          <w:bCs/>
          <w:sz w:val="18"/>
          <w:szCs w:val="18"/>
          <w:lang w:val="it-IT"/>
        </w:rPr>
        <w:t>o o più</w:t>
      </w:r>
      <w:r w:rsidRPr="000F430E">
        <w:rPr>
          <w:rFonts w:asciiTheme="minorHAnsi" w:eastAsiaTheme="minorHAnsi" w:hAnsiTheme="minorHAnsi" w:cstheme="minorHAnsi"/>
          <w:bCs/>
          <w:sz w:val="18"/>
          <w:szCs w:val="18"/>
          <w:lang w:val="it-IT"/>
        </w:rPr>
        <w:t xml:space="preserve"> precedent</w:t>
      </w:r>
      <w:r w:rsidR="003F0B63" w:rsidRPr="000F430E">
        <w:rPr>
          <w:rFonts w:asciiTheme="minorHAnsi" w:eastAsiaTheme="minorHAnsi" w:hAnsiTheme="minorHAnsi" w:cstheme="minorHAnsi"/>
          <w:bCs/>
          <w:sz w:val="18"/>
          <w:szCs w:val="18"/>
          <w:lang w:val="it-IT"/>
        </w:rPr>
        <w:t>i</w:t>
      </w:r>
      <w:r w:rsidRPr="000F430E">
        <w:rPr>
          <w:rFonts w:asciiTheme="minorHAnsi" w:eastAsiaTheme="minorHAnsi" w:hAnsiTheme="minorHAnsi" w:cstheme="minorHAnsi"/>
          <w:bCs/>
          <w:sz w:val="18"/>
          <w:szCs w:val="18"/>
          <w:lang w:val="it-IT"/>
        </w:rPr>
        <w:t xml:space="preserve"> regim</w:t>
      </w:r>
      <w:r w:rsidR="003F0B63" w:rsidRPr="000F430E">
        <w:rPr>
          <w:rFonts w:asciiTheme="minorHAnsi" w:eastAsiaTheme="minorHAnsi" w:hAnsiTheme="minorHAnsi" w:cstheme="minorHAnsi"/>
          <w:bCs/>
          <w:sz w:val="18"/>
          <w:szCs w:val="18"/>
          <w:lang w:val="it-IT"/>
        </w:rPr>
        <w:t>i di trattamento</w:t>
      </w:r>
      <w:r w:rsidRPr="000F430E">
        <w:rPr>
          <w:rFonts w:asciiTheme="minorHAnsi" w:eastAsiaTheme="minorHAnsi" w:hAnsiTheme="minorHAnsi" w:cstheme="minorHAnsi"/>
          <w:bCs/>
          <w:sz w:val="18"/>
          <w:szCs w:val="18"/>
          <w:lang w:val="it-IT"/>
        </w:rPr>
        <w:t xml:space="preserve"> a base di anti-HER2</w:t>
      </w:r>
      <w:r w:rsidR="003F0B63" w:rsidRPr="000F430E">
        <w:rPr>
          <w:rFonts w:asciiTheme="minorHAnsi" w:eastAsiaTheme="minorHAnsi" w:hAnsiTheme="minorHAnsi" w:cstheme="minorHAnsi"/>
          <w:bCs/>
          <w:sz w:val="18"/>
          <w:szCs w:val="18"/>
          <w:lang w:val="it-IT"/>
        </w:rPr>
        <w:t>, si</w:t>
      </w:r>
      <w:r w:rsidR="002D2101" w:rsidRPr="000F430E">
        <w:rPr>
          <w:rFonts w:asciiTheme="minorHAnsi" w:eastAsiaTheme="minorHAnsi" w:hAnsiTheme="minorHAnsi" w:cstheme="minorHAnsi"/>
          <w:bCs/>
          <w:sz w:val="18"/>
          <w:szCs w:val="18"/>
          <w:lang w:val="it-IT"/>
        </w:rPr>
        <w:t>a</w:t>
      </w:r>
      <w:r w:rsidRPr="000F430E">
        <w:rPr>
          <w:rFonts w:asciiTheme="minorHAnsi" w:eastAsiaTheme="minorHAnsi" w:hAnsiTheme="minorHAnsi" w:cstheme="minorHAnsi"/>
          <w:bCs/>
          <w:sz w:val="18"/>
          <w:szCs w:val="18"/>
          <w:lang w:val="it-IT"/>
        </w:rPr>
        <w:t xml:space="preserve"> in fase metastatica</w:t>
      </w:r>
      <w:r w:rsidR="002D2101" w:rsidRPr="000F430E">
        <w:rPr>
          <w:rFonts w:asciiTheme="minorHAnsi" w:eastAsiaTheme="minorHAnsi" w:hAnsiTheme="minorHAnsi" w:cstheme="minorHAnsi"/>
          <w:bCs/>
          <w:sz w:val="18"/>
          <w:szCs w:val="18"/>
          <w:lang w:val="it-IT"/>
        </w:rPr>
        <w:t xml:space="preserve"> che </w:t>
      </w:r>
      <w:r w:rsidRPr="000F430E">
        <w:rPr>
          <w:rFonts w:asciiTheme="minorHAnsi" w:eastAsiaTheme="minorHAnsi" w:hAnsiTheme="minorHAnsi" w:cstheme="minorHAnsi"/>
          <w:bCs/>
          <w:sz w:val="18"/>
          <w:szCs w:val="18"/>
          <w:lang w:val="it-IT"/>
        </w:rPr>
        <w:t>neo</w:t>
      </w:r>
      <w:r w:rsidR="002D2101" w:rsidRPr="000F430E">
        <w:rPr>
          <w:rFonts w:asciiTheme="minorHAnsi" w:eastAsiaTheme="minorHAnsi" w:hAnsiTheme="minorHAnsi" w:cstheme="minorHAnsi"/>
          <w:bCs/>
          <w:sz w:val="18"/>
          <w:szCs w:val="18"/>
          <w:lang w:val="it-IT"/>
        </w:rPr>
        <w:t>-</w:t>
      </w:r>
      <w:r w:rsidRPr="000F430E">
        <w:rPr>
          <w:rFonts w:asciiTheme="minorHAnsi" w:eastAsiaTheme="minorHAnsi" w:hAnsiTheme="minorHAnsi" w:cstheme="minorHAnsi"/>
          <w:bCs/>
          <w:sz w:val="18"/>
          <w:szCs w:val="18"/>
          <w:lang w:val="it-IT"/>
        </w:rPr>
        <w:t>adiuvante o adiuvante</w:t>
      </w:r>
      <w:r w:rsidR="002D2101" w:rsidRPr="000F430E">
        <w:rPr>
          <w:rFonts w:asciiTheme="minorHAnsi" w:eastAsiaTheme="minorHAnsi" w:hAnsiTheme="minorHAnsi" w:cstheme="minorHAnsi"/>
          <w:bCs/>
          <w:sz w:val="18"/>
          <w:szCs w:val="18"/>
          <w:lang w:val="it-IT"/>
        </w:rPr>
        <w:t>,</w:t>
      </w:r>
      <w:r w:rsidRPr="000F430E">
        <w:rPr>
          <w:rFonts w:asciiTheme="minorHAnsi" w:eastAsiaTheme="minorHAnsi" w:hAnsiTheme="minorHAnsi" w:cstheme="minorHAnsi"/>
          <w:bCs/>
          <w:sz w:val="18"/>
          <w:szCs w:val="18"/>
          <w:lang w:val="it-IT"/>
        </w:rPr>
        <w:t xml:space="preserve"> e che hanno sviluppato una recidiva di malattia durante o entro sei mesi dal completamento della terapia</w:t>
      </w:r>
      <w:r w:rsidR="002D2101" w:rsidRPr="000F430E">
        <w:rPr>
          <w:rFonts w:asciiTheme="minorHAnsi" w:eastAsiaTheme="minorHAnsi" w:hAnsiTheme="minorHAnsi" w:cstheme="minorHAnsi"/>
          <w:bCs/>
          <w:sz w:val="18"/>
          <w:szCs w:val="18"/>
          <w:lang w:val="it-IT"/>
        </w:rPr>
        <w:t>.</w:t>
      </w:r>
      <w:r w:rsidR="00A22A3C">
        <w:rPr>
          <w:rFonts w:asciiTheme="minorHAnsi" w:eastAsiaTheme="minorHAnsi" w:hAnsiTheme="minorHAnsi" w:cstheme="minorHAnsi"/>
          <w:bCs/>
          <w:sz w:val="18"/>
          <w:szCs w:val="18"/>
          <w:lang w:val="it-IT"/>
        </w:rPr>
        <w:t xml:space="preserve"> </w:t>
      </w:r>
      <w:r w:rsidR="002D2101" w:rsidRPr="000F430E">
        <w:rPr>
          <w:rFonts w:asciiTheme="minorHAnsi" w:eastAsiaTheme="minorHAnsi" w:hAnsiTheme="minorHAnsi" w:cstheme="minorHAnsi"/>
          <w:bCs/>
          <w:sz w:val="18"/>
          <w:szCs w:val="18"/>
          <w:lang w:val="it-IT"/>
        </w:rPr>
        <w:t>L’approvazione si basa sui</w:t>
      </w:r>
      <w:r w:rsidRPr="000F430E">
        <w:rPr>
          <w:rFonts w:asciiTheme="minorHAnsi" w:eastAsiaTheme="minorHAnsi" w:hAnsiTheme="minorHAnsi" w:cstheme="minorHAnsi"/>
          <w:bCs/>
          <w:sz w:val="18"/>
          <w:szCs w:val="18"/>
          <w:lang w:val="it-IT"/>
        </w:rPr>
        <w:t xml:space="preserve"> risultati dello studio </w:t>
      </w:r>
      <w:hyperlink r:id="rId13" w:history="1">
        <w:r w:rsidRPr="000F430E">
          <w:rPr>
            <w:rStyle w:val="Collegamentoipertestuale"/>
            <w:rFonts w:asciiTheme="minorHAnsi" w:eastAsiaTheme="minorHAnsi" w:hAnsiTheme="minorHAnsi" w:cstheme="minorHAnsi"/>
            <w:bCs/>
            <w:sz w:val="18"/>
            <w:szCs w:val="18"/>
            <w:lang w:val="it-IT"/>
          </w:rPr>
          <w:t>DESTINY-Breast03</w:t>
        </w:r>
      </w:hyperlink>
      <w:r w:rsidRPr="000F430E">
        <w:rPr>
          <w:rFonts w:asciiTheme="minorHAnsi" w:eastAsiaTheme="minorHAnsi" w:hAnsiTheme="minorHAnsi" w:cstheme="minorHAnsi"/>
          <w:bCs/>
          <w:sz w:val="18"/>
          <w:szCs w:val="18"/>
          <w:lang w:val="it-IT"/>
        </w:rPr>
        <w:t>. Trastuzumab deruxtecan è inoltre approvato in diversi Paesi per il trattamento di pazienti adulte con carcinoma mammario HER2</w:t>
      </w:r>
      <w:r w:rsidR="002D2101" w:rsidRPr="000F430E">
        <w:rPr>
          <w:rFonts w:asciiTheme="minorHAnsi" w:eastAsiaTheme="minorHAnsi" w:hAnsiTheme="minorHAnsi" w:cstheme="minorHAnsi"/>
          <w:bCs/>
          <w:sz w:val="18"/>
          <w:szCs w:val="18"/>
          <w:lang w:val="it-IT"/>
        </w:rPr>
        <w:t>-</w:t>
      </w:r>
      <w:r w:rsidRPr="000F430E">
        <w:rPr>
          <w:rFonts w:asciiTheme="minorHAnsi" w:eastAsiaTheme="minorHAnsi" w:hAnsiTheme="minorHAnsi" w:cstheme="minorHAnsi"/>
          <w:bCs/>
          <w:sz w:val="18"/>
          <w:szCs w:val="18"/>
          <w:lang w:val="it-IT"/>
        </w:rPr>
        <w:t xml:space="preserve">positivo non resecabile o metastatico che hanno ricevuto due o più regimi precedenti a base di anti-HER2, sulla base dei risultati dello studio </w:t>
      </w:r>
      <w:hyperlink r:id="rId14" w:history="1">
        <w:r w:rsidRPr="000F430E">
          <w:rPr>
            <w:rStyle w:val="Collegamentoipertestuale"/>
            <w:rFonts w:asciiTheme="minorHAnsi" w:eastAsiaTheme="minorHAnsi" w:hAnsiTheme="minorHAnsi" w:cstheme="minorHAnsi"/>
            <w:bCs/>
            <w:sz w:val="18"/>
            <w:szCs w:val="18"/>
            <w:lang w:val="it-IT"/>
          </w:rPr>
          <w:t>DESTINY-Breast01</w:t>
        </w:r>
      </w:hyperlink>
      <w:r w:rsidRPr="000F430E">
        <w:rPr>
          <w:rFonts w:asciiTheme="minorHAnsi" w:eastAsiaTheme="minorHAnsi" w:hAnsiTheme="minorHAnsi" w:cstheme="minorHAnsi"/>
          <w:bCs/>
          <w:sz w:val="18"/>
          <w:szCs w:val="18"/>
          <w:lang w:val="it-IT"/>
        </w:rPr>
        <w:t>.</w:t>
      </w:r>
    </w:p>
    <w:p w14:paraId="586AA5D1" w14:textId="77777777" w:rsidR="009606CE" w:rsidRPr="000F430E" w:rsidRDefault="009606CE" w:rsidP="009606CE">
      <w:pPr>
        <w:pStyle w:val="NormaleWeb"/>
        <w:shd w:val="clear" w:color="auto" w:fill="FFFFFF"/>
        <w:spacing w:after="0"/>
        <w:jc w:val="both"/>
        <w:textAlignment w:val="baseline"/>
        <w:rPr>
          <w:rFonts w:asciiTheme="minorHAnsi" w:eastAsiaTheme="minorHAnsi" w:hAnsiTheme="minorHAnsi" w:cstheme="minorHAnsi"/>
          <w:bCs/>
          <w:sz w:val="18"/>
          <w:szCs w:val="18"/>
          <w:lang w:val="it-IT"/>
        </w:rPr>
      </w:pPr>
    </w:p>
    <w:p w14:paraId="45D987FE" w14:textId="4324B1DC" w:rsidR="002D2101" w:rsidRPr="000F430E" w:rsidRDefault="002D2101" w:rsidP="009606CE">
      <w:pPr>
        <w:pStyle w:val="NormaleWeb"/>
        <w:shd w:val="clear" w:color="auto" w:fill="FFFFFF"/>
        <w:spacing w:after="0"/>
        <w:jc w:val="both"/>
        <w:textAlignment w:val="baseline"/>
        <w:rPr>
          <w:rStyle w:val="Collegamentoipertestuale"/>
          <w:rFonts w:asciiTheme="minorHAnsi" w:eastAsia="MS Mincho" w:hAnsiTheme="minorHAnsi" w:cstheme="minorHAnsi"/>
          <w:iCs/>
          <w:color w:val="002060"/>
          <w:sz w:val="18"/>
          <w:szCs w:val="18"/>
          <w:lang w:val="it-IT"/>
        </w:rPr>
      </w:pPr>
      <w:r w:rsidRPr="000F430E">
        <w:rPr>
          <w:rFonts w:asciiTheme="minorHAnsi" w:hAnsiTheme="minorHAnsi" w:cstheme="minorHAnsi"/>
          <w:sz w:val="18"/>
          <w:szCs w:val="18"/>
          <w:lang w:val="it-IT"/>
        </w:rPr>
        <w:t>Trastuzumab deruxtecan</w:t>
      </w:r>
      <w:r w:rsidRPr="000F430E">
        <w:rPr>
          <w:rFonts w:asciiTheme="minorHAnsi" w:hAnsiTheme="minorHAnsi" w:cstheme="minorHAnsi"/>
          <w:color w:val="000000" w:themeColor="text1"/>
          <w:sz w:val="18"/>
          <w:szCs w:val="18"/>
          <w:lang w:val="it-IT"/>
        </w:rPr>
        <w:t xml:space="preserve"> (5,4 mg/kg) è approvato in Brasile e negli Stati Uniti per il trattamento di pazienti adulte con carcinoma mammario non resecabile o metastatico </w:t>
      </w:r>
      <w:r w:rsidR="006D56D8" w:rsidRPr="000F430E">
        <w:rPr>
          <w:rFonts w:asciiTheme="minorHAnsi" w:hAnsiTheme="minorHAnsi" w:cstheme="minorHAnsi"/>
          <w:color w:val="000000" w:themeColor="text1"/>
          <w:sz w:val="18"/>
          <w:szCs w:val="18"/>
          <w:lang w:val="it-IT"/>
        </w:rPr>
        <w:t xml:space="preserve">che esprime bassi livelli di </w:t>
      </w:r>
      <w:r w:rsidRPr="000F430E">
        <w:rPr>
          <w:rFonts w:asciiTheme="minorHAnsi" w:hAnsiTheme="minorHAnsi" w:cstheme="minorHAnsi"/>
          <w:color w:val="000000" w:themeColor="text1"/>
          <w:sz w:val="18"/>
          <w:szCs w:val="18"/>
          <w:lang w:val="it-IT"/>
        </w:rPr>
        <w:t xml:space="preserve">HER2 (HER2Low: IHC 1+ o IHC 2+/ISH-) che hanno ricevuto una precedente </w:t>
      </w:r>
      <w:r w:rsidR="008E2C7B" w:rsidRPr="000F430E">
        <w:rPr>
          <w:rFonts w:asciiTheme="minorHAnsi" w:hAnsiTheme="minorHAnsi" w:cstheme="minorHAnsi"/>
          <w:color w:val="000000" w:themeColor="text1"/>
          <w:sz w:val="18"/>
          <w:szCs w:val="18"/>
          <w:lang w:val="it-IT"/>
        </w:rPr>
        <w:t>terapia sistemica</w:t>
      </w:r>
      <w:r w:rsidRPr="000F430E">
        <w:rPr>
          <w:rFonts w:asciiTheme="minorHAnsi" w:hAnsiTheme="minorHAnsi" w:cstheme="minorHAnsi"/>
          <w:color w:val="000000" w:themeColor="text1"/>
          <w:sz w:val="18"/>
          <w:szCs w:val="18"/>
          <w:lang w:val="it-IT"/>
        </w:rPr>
        <w:t xml:space="preserve"> </w:t>
      </w:r>
      <w:r w:rsidR="00911D51" w:rsidRPr="000F430E">
        <w:rPr>
          <w:rFonts w:asciiTheme="minorHAnsi" w:hAnsiTheme="minorHAnsi" w:cstheme="minorHAnsi"/>
          <w:color w:val="000000" w:themeColor="text1"/>
          <w:sz w:val="18"/>
          <w:szCs w:val="18"/>
          <w:lang w:val="it-IT"/>
        </w:rPr>
        <w:t xml:space="preserve">nel setting </w:t>
      </w:r>
      <w:r w:rsidRPr="000F430E">
        <w:rPr>
          <w:rFonts w:asciiTheme="minorHAnsi" w:hAnsiTheme="minorHAnsi" w:cstheme="minorHAnsi"/>
          <w:color w:val="000000" w:themeColor="text1"/>
          <w:sz w:val="18"/>
          <w:szCs w:val="18"/>
          <w:lang w:val="it-IT"/>
        </w:rPr>
        <w:t xml:space="preserve">metastatico o che hanno sviluppato una recidiva di malattia durante o entro sei mesi dal completamento della chemioterapia adiuvante, sulla base dei risultati dello studio </w:t>
      </w:r>
      <w:hyperlink r:id="rId15" w:history="1">
        <w:r w:rsidRPr="000F430E">
          <w:rPr>
            <w:rStyle w:val="Collegamentoipertestuale"/>
            <w:rFonts w:asciiTheme="minorHAnsi" w:eastAsia="MS Mincho" w:hAnsiTheme="minorHAnsi" w:cstheme="minorHAnsi"/>
            <w:iCs/>
            <w:color w:val="002060"/>
            <w:sz w:val="18"/>
            <w:szCs w:val="18"/>
            <w:lang w:val="it-IT"/>
          </w:rPr>
          <w:t>DESTINY-Breast04</w:t>
        </w:r>
      </w:hyperlink>
      <w:r w:rsidRPr="000F430E">
        <w:rPr>
          <w:rStyle w:val="Collegamentoipertestuale"/>
          <w:rFonts w:asciiTheme="minorHAnsi" w:eastAsia="MS Mincho" w:hAnsiTheme="minorHAnsi" w:cstheme="minorHAnsi"/>
          <w:iCs/>
          <w:color w:val="002060"/>
          <w:sz w:val="18"/>
          <w:szCs w:val="18"/>
          <w:lang w:val="it-IT"/>
        </w:rPr>
        <w:t>.</w:t>
      </w:r>
    </w:p>
    <w:p w14:paraId="6C563C8B" w14:textId="77777777" w:rsidR="009606CE" w:rsidRPr="000F430E" w:rsidRDefault="009606CE" w:rsidP="009606CE">
      <w:pPr>
        <w:pStyle w:val="NormaleWeb"/>
        <w:shd w:val="clear" w:color="auto" w:fill="FFFFFF"/>
        <w:spacing w:after="0"/>
        <w:jc w:val="both"/>
        <w:textAlignment w:val="baseline"/>
        <w:rPr>
          <w:rStyle w:val="Collegamentoipertestuale"/>
          <w:rFonts w:asciiTheme="minorHAnsi" w:eastAsia="MS Mincho" w:hAnsiTheme="minorHAnsi" w:cstheme="minorHAnsi"/>
          <w:iCs/>
          <w:color w:val="002060"/>
          <w:sz w:val="18"/>
          <w:szCs w:val="18"/>
          <w:lang w:val="it-IT"/>
        </w:rPr>
      </w:pPr>
    </w:p>
    <w:p w14:paraId="32CEAC46" w14:textId="26DD9BAB" w:rsidR="002D2101" w:rsidRPr="000F430E" w:rsidRDefault="002D2101" w:rsidP="009606CE">
      <w:pPr>
        <w:pStyle w:val="NormaleWeb"/>
        <w:shd w:val="clear" w:color="auto" w:fill="FFFFFF"/>
        <w:spacing w:after="0"/>
        <w:jc w:val="both"/>
        <w:textAlignment w:val="baseline"/>
        <w:rPr>
          <w:rFonts w:asciiTheme="minorHAnsi" w:hAnsiTheme="minorHAnsi" w:cstheme="minorHAnsi"/>
          <w:color w:val="000000" w:themeColor="text1"/>
          <w:sz w:val="18"/>
          <w:szCs w:val="18"/>
          <w:lang w:val="it-IT"/>
        </w:rPr>
      </w:pPr>
      <w:r w:rsidRPr="000F430E">
        <w:rPr>
          <w:rFonts w:asciiTheme="minorHAnsi" w:hAnsiTheme="minorHAnsi" w:cstheme="minorHAnsi"/>
          <w:sz w:val="18"/>
          <w:szCs w:val="18"/>
          <w:lang w:val="it-IT"/>
        </w:rPr>
        <w:t>Trastuzumab deruxtecan</w:t>
      </w:r>
      <w:r w:rsidRPr="000F430E">
        <w:rPr>
          <w:rFonts w:asciiTheme="minorHAnsi" w:hAnsiTheme="minorHAnsi" w:cstheme="minorHAnsi"/>
          <w:color w:val="000000" w:themeColor="text1"/>
          <w:sz w:val="18"/>
          <w:szCs w:val="18"/>
          <w:lang w:val="it-IT"/>
        </w:rPr>
        <w:t xml:space="preserve"> (5,4 mg/kg) è approvato </w:t>
      </w:r>
      <w:r w:rsidR="00C76A9D" w:rsidRPr="000F430E">
        <w:rPr>
          <w:rFonts w:asciiTheme="minorHAnsi" w:hAnsiTheme="minorHAnsi" w:cstheme="minorHAnsi"/>
          <w:color w:val="000000" w:themeColor="text1"/>
          <w:sz w:val="18"/>
          <w:szCs w:val="18"/>
          <w:lang w:val="it-IT"/>
        </w:rPr>
        <w:t>con</w:t>
      </w:r>
      <w:r w:rsidRPr="000F430E">
        <w:rPr>
          <w:rFonts w:asciiTheme="minorHAnsi" w:hAnsiTheme="minorHAnsi" w:cstheme="minorHAnsi"/>
          <w:color w:val="000000" w:themeColor="text1"/>
          <w:sz w:val="18"/>
          <w:szCs w:val="18"/>
          <w:lang w:val="it-IT"/>
        </w:rPr>
        <w:t xml:space="preserve"> approvazione accelerata negli Stati Uniti per il trattamento di pazienti adulti con carcinoma polmonare non a piccole cellule (NSCLC) non resecabile o metastatico, i cui tumori presentano mutazioni HER2 </w:t>
      </w:r>
      <w:r w:rsidRPr="000F430E">
        <w:rPr>
          <w:rFonts w:asciiTheme="minorHAnsi" w:hAnsiTheme="minorHAnsi" w:cstheme="minorHAnsi"/>
          <w:color w:val="000000" w:themeColor="text1"/>
          <w:sz w:val="18"/>
          <w:szCs w:val="18"/>
          <w:lang w:val="it-IT"/>
        </w:rPr>
        <w:lastRenderedPageBreak/>
        <w:t xml:space="preserve">(ERBB2) attivanti, rilevate da un test approvato dalla FDA, e che hanno ricevuto una precedente terapia sistemica. L’approvazione accelerata si basa sui risultati dello studio </w:t>
      </w:r>
      <w:hyperlink r:id="rId16" w:history="1">
        <w:r w:rsidRPr="000F430E">
          <w:rPr>
            <w:rStyle w:val="Collegamentoipertestuale"/>
            <w:rFonts w:asciiTheme="minorHAnsi" w:hAnsiTheme="minorHAnsi" w:cstheme="minorHAnsi"/>
            <w:bCs/>
            <w:iCs/>
            <w:color w:val="002060"/>
            <w:sz w:val="18"/>
            <w:szCs w:val="18"/>
            <w:lang w:val="it-IT"/>
          </w:rPr>
          <w:t>DESTINY-Lung02</w:t>
        </w:r>
      </w:hyperlink>
      <w:r w:rsidRPr="000F430E">
        <w:rPr>
          <w:rFonts w:asciiTheme="minorHAnsi" w:hAnsiTheme="minorHAnsi" w:cstheme="minorHAnsi"/>
          <w:color w:val="000000" w:themeColor="text1"/>
          <w:sz w:val="18"/>
          <w:szCs w:val="18"/>
          <w:lang w:val="it-IT"/>
        </w:rPr>
        <w:t xml:space="preserve">. </w:t>
      </w:r>
      <w:r w:rsidR="00C76A9D" w:rsidRPr="000F430E">
        <w:rPr>
          <w:rFonts w:asciiTheme="minorHAnsi" w:hAnsiTheme="minorHAnsi" w:cstheme="minorHAnsi"/>
          <w:color w:val="000000" w:themeColor="text1"/>
          <w:sz w:val="18"/>
          <w:szCs w:val="18"/>
          <w:lang w:val="it-IT"/>
        </w:rPr>
        <w:t>Il mantenimento</w:t>
      </w:r>
      <w:r w:rsidRPr="000F430E">
        <w:rPr>
          <w:rFonts w:asciiTheme="minorHAnsi" w:hAnsiTheme="minorHAnsi" w:cstheme="minorHAnsi"/>
          <w:color w:val="000000" w:themeColor="text1"/>
          <w:sz w:val="18"/>
          <w:szCs w:val="18"/>
          <w:lang w:val="it-IT"/>
        </w:rPr>
        <w:t xml:space="preserve"> dell'approvazione per questa indicazione può essere</w:t>
      </w:r>
      <w:r w:rsidR="00CF3F1C">
        <w:rPr>
          <w:rFonts w:asciiTheme="minorHAnsi" w:hAnsiTheme="minorHAnsi" w:cstheme="minorHAnsi"/>
          <w:color w:val="000000" w:themeColor="text1"/>
          <w:sz w:val="18"/>
          <w:szCs w:val="18"/>
          <w:lang w:val="it-IT"/>
        </w:rPr>
        <w:t xml:space="preserve"> </w:t>
      </w:r>
      <w:r w:rsidRPr="000F430E">
        <w:rPr>
          <w:rFonts w:asciiTheme="minorHAnsi" w:hAnsiTheme="minorHAnsi" w:cstheme="minorHAnsi"/>
          <w:color w:val="000000" w:themeColor="text1"/>
          <w:sz w:val="18"/>
          <w:szCs w:val="18"/>
          <w:lang w:val="it-IT"/>
        </w:rPr>
        <w:t>subordinat</w:t>
      </w:r>
      <w:r w:rsidR="00CF3F1C">
        <w:rPr>
          <w:rFonts w:asciiTheme="minorHAnsi" w:hAnsiTheme="minorHAnsi" w:cstheme="minorHAnsi"/>
          <w:color w:val="000000" w:themeColor="text1"/>
          <w:sz w:val="18"/>
          <w:szCs w:val="18"/>
          <w:lang w:val="it-IT"/>
        </w:rPr>
        <w:t>o</w:t>
      </w:r>
      <w:r w:rsidRPr="000F430E">
        <w:rPr>
          <w:rFonts w:asciiTheme="minorHAnsi" w:hAnsiTheme="minorHAnsi" w:cstheme="minorHAnsi"/>
          <w:color w:val="000000" w:themeColor="text1"/>
          <w:sz w:val="18"/>
          <w:szCs w:val="18"/>
          <w:lang w:val="it-IT"/>
        </w:rPr>
        <w:t xml:space="preserve"> alla verifica e alla descrizione del beneficio clinico in uno studio di conferma.</w:t>
      </w:r>
    </w:p>
    <w:p w14:paraId="3CE132FF" w14:textId="77777777" w:rsidR="009606CE" w:rsidRPr="000F430E" w:rsidRDefault="009606CE" w:rsidP="009606CE">
      <w:pPr>
        <w:pStyle w:val="NormaleWeb"/>
        <w:shd w:val="clear" w:color="auto" w:fill="FFFFFF"/>
        <w:spacing w:after="0"/>
        <w:jc w:val="both"/>
        <w:textAlignment w:val="baseline"/>
        <w:rPr>
          <w:rStyle w:val="Collegamentoipertestuale"/>
          <w:rFonts w:asciiTheme="minorHAnsi" w:eastAsia="MS Mincho" w:hAnsiTheme="minorHAnsi" w:cstheme="minorHAnsi"/>
          <w:iCs/>
          <w:color w:val="002060"/>
          <w:sz w:val="18"/>
          <w:szCs w:val="18"/>
          <w:lang w:val="it-IT"/>
        </w:rPr>
      </w:pPr>
    </w:p>
    <w:p w14:paraId="25F10D87" w14:textId="7E467AA2" w:rsidR="00556718" w:rsidRPr="000F430E" w:rsidRDefault="006548AD" w:rsidP="00556718">
      <w:pPr>
        <w:jc w:val="both"/>
        <w:rPr>
          <w:rFonts w:eastAsiaTheme="minorHAnsi"/>
          <w:sz w:val="22"/>
          <w:szCs w:val="22"/>
          <w:lang w:val="it-IT"/>
        </w:rPr>
      </w:pPr>
      <w:r w:rsidRPr="000F430E">
        <w:rPr>
          <w:rFonts w:cstheme="minorHAnsi"/>
          <w:sz w:val="18"/>
          <w:szCs w:val="18"/>
          <w:lang w:val="it-IT"/>
        </w:rPr>
        <w:t>Trastuzumab deruxtecan</w:t>
      </w:r>
      <w:r w:rsidRPr="000F430E">
        <w:rPr>
          <w:rFonts w:cstheme="minorHAnsi"/>
          <w:color w:val="000000" w:themeColor="text1"/>
          <w:sz w:val="18"/>
          <w:szCs w:val="18"/>
          <w:lang w:val="it-IT"/>
        </w:rPr>
        <w:t xml:space="preserve"> (6,4mg/kg) è anche approvato in diversi Paesi</w:t>
      </w:r>
      <w:r w:rsidR="00332E02" w:rsidRPr="000F430E">
        <w:rPr>
          <w:rFonts w:cstheme="minorHAnsi"/>
          <w:color w:val="000000" w:themeColor="text1"/>
          <w:sz w:val="18"/>
          <w:szCs w:val="18"/>
          <w:lang w:val="it-IT"/>
        </w:rPr>
        <w:t xml:space="preserve"> </w:t>
      </w:r>
      <w:r w:rsidRPr="000F430E">
        <w:rPr>
          <w:rFonts w:cstheme="minorHAnsi"/>
          <w:color w:val="000000" w:themeColor="text1"/>
          <w:sz w:val="18"/>
          <w:szCs w:val="18"/>
          <w:lang w:val="it-IT"/>
        </w:rPr>
        <w:t>per il trattamento di pazienti adulti affetti da adenocarcinoma gastrico o adenocarcinoma della giunzione gastroesofagea HER2-positivo localmente avanzato, precedentemente trattati con un regime a base di trastuzumab. L’approvazione si basa sui risultati del trial</w:t>
      </w:r>
      <w:r w:rsidRPr="000F430E">
        <w:rPr>
          <w:rFonts w:cstheme="minorHAnsi"/>
          <w:color w:val="0070C0"/>
          <w:sz w:val="18"/>
          <w:szCs w:val="18"/>
          <w:lang w:val="it-IT"/>
        </w:rPr>
        <w:t xml:space="preserve"> </w:t>
      </w:r>
      <w:hyperlink r:id="rId17" w:history="1">
        <w:r w:rsidRPr="000F430E">
          <w:rPr>
            <w:rStyle w:val="Collegamentoipertestuale"/>
            <w:rFonts w:asciiTheme="minorHAnsi" w:eastAsiaTheme="minorHAnsi" w:hAnsiTheme="minorHAnsi" w:cstheme="minorHAnsi"/>
            <w:bCs/>
            <w:color w:val="0070C0"/>
            <w:sz w:val="18"/>
            <w:szCs w:val="18"/>
            <w:lang w:val="it-IT"/>
          </w:rPr>
          <w:t>DESTINY-Gastric01</w:t>
        </w:r>
      </w:hyperlink>
      <w:r w:rsidRPr="000F430E">
        <w:rPr>
          <w:rFonts w:cstheme="minorHAnsi"/>
          <w:color w:val="0070C0"/>
          <w:sz w:val="18"/>
          <w:szCs w:val="18"/>
          <w:lang w:val="it-IT"/>
        </w:rPr>
        <w:t xml:space="preserve">. </w:t>
      </w:r>
      <w:r w:rsidR="00556718" w:rsidRPr="000F430E">
        <w:rPr>
          <w:rFonts w:cstheme="minorHAnsi"/>
          <w:color w:val="000000" w:themeColor="text1"/>
          <w:sz w:val="18"/>
          <w:szCs w:val="18"/>
          <w:lang w:val="it-IT"/>
        </w:rPr>
        <w:t>Trastuzumab deruxtecan non è ancora approvato nell'UE per il trattamento del carcinoma gastrico avanzato ed è soggetto a monitoraggio addizionale.</w:t>
      </w:r>
      <w:r w:rsidR="00556718" w:rsidRPr="000F430E">
        <w:rPr>
          <w:rFonts w:eastAsiaTheme="minorHAnsi"/>
          <w:sz w:val="22"/>
          <w:szCs w:val="22"/>
          <w:lang w:val="it-IT"/>
        </w:rPr>
        <w:t xml:space="preserve"> </w:t>
      </w:r>
    </w:p>
    <w:p w14:paraId="3992700E" w14:textId="79D90C90" w:rsidR="00226292" w:rsidRPr="000F430E" w:rsidRDefault="00226292" w:rsidP="009606CE">
      <w:pPr>
        <w:pStyle w:val="NormaleWeb"/>
        <w:shd w:val="clear" w:color="auto" w:fill="FFFFFF"/>
        <w:spacing w:after="0"/>
        <w:jc w:val="both"/>
        <w:textAlignment w:val="baseline"/>
        <w:rPr>
          <w:rFonts w:asciiTheme="minorHAnsi" w:hAnsiTheme="minorHAnsi" w:cstheme="minorHAnsi"/>
          <w:color w:val="000000" w:themeColor="text1"/>
          <w:sz w:val="18"/>
          <w:szCs w:val="18"/>
          <w:lang w:val="it-IT"/>
        </w:rPr>
      </w:pPr>
    </w:p>
    <w:p w14:paraId="68C5041F" w14:textId="77777777" w:rsidR="009606CE" w:rsidRPr="000F430E" w:rsidRDefault="009606CE" w:rsidP="009606CE">
      <w:pPr>
        <w:pStyle w:val="NormaleWeb"/>
        <w:shd w:val="clear" w:color="auto" w:fill="FFFFFF"/>
        <w:spacing w:after="0"/>
        <w:jc w:val="both"/>
        <w:textAlignment w:val="baseline"/>
        <w:rPr>
          <w:rFonts w:asciiTheme="minorHAnsi" w:hAnsiTheme="minorHAnsi" w:cstheme="minorHAnsi"/>
          <w:color w:val="000000" w:themeColor="text1"/>
          <w:sz w:val="18"/>
          <w:szCs w:val="18"/>
          <w:lang w:val="it-IT"/>
        </w:rPr>
      </w:pPr>
    </w:p>
    <w:p w14:paraId="6053734D" w14:textId="77777777" w:rsidR="00A04A45" w:rsidRPr="000F430E" w:rsidRDefault="00A04A45" w:rsidP="00A04A45">
      <w:pPr>
        <w:shd w:val="clear" w:color="auto" w:fill="FFFFFF"/>
        <w:textAlignment w:val="baseline"/>
        <w:rPr>
          <w:rFonts w:cstheme="minorHAnsi"/>
          <w:sz w:val="18"/>
          <w:szCs w:val="18"/>
          <w:lang w:val="it-IT"/>
        </w:rPr>
      </w:pPr>
      <w:r w:rsidRPr="000F430E">
        <w:rPr>
          <w:rFonts w:cstheme="minorHAnsi"/>
          <w:b/>
          <w:sz w:val="18"/>
          <w:szCs w:val="18"/>
          <w:lang w:val="it-IT"/>
        </w:rPr>
        <w:t>Il Programma di Sviluppo Clinico di Trastuzumab deruxtecan</w:t>
      </w:r>
    </w:p>
    <w:p w14:paraId="7C7B2C28" w14:textId="45B56527" w:rsidR="00A04A45" w:rsidRPr="000F430E" w:rsidRDefault="00A04A45" w:rsidP="00A04A45">
      <w:pPr>
        <w:shd w:val="clear" w:color="auto" w:fill="FFFFFF"/>
        <w:jc w:val="both"/>
        <w:textAlignment w:val="baseline"/>
        <w:rPr>
          <w:rFonts w:eastAsiaTheme="minorHAnsi" w:cstheme="minorHAnsi"/>
          <w:bCs/>
          <w:sz w:val="18"/>
          <w:szCs w:val="18"/>
          <w:lang w:val="it-IT"/>
        </w:rPr>
      </w:pPr>
      <w:r w:rsidRPr="000F430E">
        <w:rPr>
          <w:rFonts w:eastAsiaTheme="minorHAnsi" w:cstheme="minorHAnsi"/>
          <w:bCs/>
          <w:sz w:val="18"/>
          <w:szCs w:val="18"/>
          <w:lang w:val="it-IT"/>
        </w:rPr>
        <w:t xml:space="preserve">Un ampio e completo programma di sviluppo è attualmente in corso per valutare l’efficacia e la sicurezza di </w:t>
      </w:r>
      <w:r w:rsidR="00C76A9D" w:rsidRPr="000F430E">
        <w:rPr>
          <w:rFonts w:cstheme="minorHAnsi"/>
          <w:sz w:val="18"/>
          <w:szCs w:val="18"/>
          <w:lang w:val="it-IT"/>
        </w:rPr>
        <w:t>t</w:t>
      </w:r>
      <w:r w:rsidRPr="000F430E">
        <w:rPr>
          <w:rFonts w:cstheme="minorHAnsi"/>
          <w:sz w:val="18"/>
          <w:szCs w:val="18"/>
          <w:lang w:val="it-IT"/>
        </w:rPr>
        <w:t>rastuzumab deruxtecan</w:t>
      </w:r>
      <w:r w:rsidRPr="000F430E">
        <w:rPr>
          <w:rFonts w:eastAsiaTheme="minorHAnsi" w:cstheme="minorHAnsi"/>
          <w:bCs/>
          <w:sz w:val="18"/>
          <w:szCs w:val="18"/>
          <w:lang w:val="it-IT"/>
        </w:rPr>
        <w:t xml:space="preserve"> in monoterapia per il trattamento di diversi tumori </w:t>
      </w:r>
      <w:r w:rsidR="00BC3CBA" w:rsidRPr="000F430E">
        <w:rPr>
          <w:rFonts w:eastAsiaTheme="minorHAnsi" w:cstheme="minorHAnsi"/>
          <w:bCs/>
          <w:sz w:val="18"/>
          <w:szCs w:val="18"/>
          <w:lang w:val="it-IT"/>
        </w:rPr>
        <w:t xml:space="preserve">che esprimono </w:t>
      </w:r>
      <w:r w:rsidRPr="000F430E">
        <w:rPr>
          <w:rFonts w:eastAsiaTheme="minorHAnsi" w:cstheme="minorHAnsi"/>
          <w:bCs/>
          <w:sz w:val="18"/>
          <w:szCs w:val="18"/>
          <w:lang w:val="it-IT"/>
        </w:rPr>
        <w:t xml:space="preserve">HER2, inclusi il carcinoma mammario, gastrico, polmonare e </w:t>
      </w:r>
      <w:r w:rsidR="00C76A9D" w:rsidRPr="000F430E">
        <w:rPr>
          <w:rFonts w:eastAsiaTheme="minorHAnsi" w:cstheme="minorHAnsi"/>
          <w:bCs/>
          <w:sz w:val="18"/>
          <w:szCs w:val="18"/>
          <w:lang w:val="it-IT"/>
        </w:rPr>
        <w:t>del colonretto</w:t>
      </w:r>
      <w:r w:rsidRPr="000F430E">
        <w:rPr>
          <w:rFonts w:eastAsiaTheme="minorHAnsi" w:cstheme="minorHAnsi"/>
          <w:bCs/>
          <w:sz w:val="18"/>
          <w:szCs w:val="18"/>
          <w:lang w:val="it-IT"/>
        </w:rPr>
        <w:t>. Sono anche in corso ulteriori studi clinici con</w:t>
      </w:r>
      <w:r w:rsidR="00EB2D5E" w:rsidRPr="000F430E">
        <w:rPr>
          <w:rFonts w:eastAsiaTheme="minorHAnsi" w:cstheme="minorHAnsi"/>
          <w:bCs/>
          <w:sz w:val="18"/>
          <w:szCs w:val="18"/>
          <w:lang w:val="it-IT"/>
        </w:rPr>
        <w:t xml:space="preserve"> trastuzumab deruxtecan</w:t>
      </w:r>
      <w:r w:rsidRPr="000F430E">
        <w:rPr>
          <w:rFonts w:eastAsiaTheme="minorHAnsi" w:cstheme="minorHAnsi"/>
          <w:bCs/>
          <w:sz w:val="18"/>
          <w:szCs w:val="18"/>
          <w:lang w:val="it-IT"/>
        </w:rPr>
        <w:t xml:space="preserve"> in associazione con altri trattamenti anti-tumorali, quali l’immunoterapia. </w:t>
      </w:r>
    </w:p>
    <w:p w14:paraId="42D642F9" w14:textId="77777777" w:rsidR="006A0CA6" w:rsidRPr="000F430E" w:rsidRDefault="006A0CA6" w:rsidP="00BF1BA7">
      <w:pPr>
        <w:jc w:val="both"/>
        <w:rPr>
          <w:rFonts w:cstheme="minorHAnsi"/>
          <w:b/>
          <w:noProof/>
          <w:sz w:val="18"/>
          <w:szCs w:val="18"/>
          <w:lang w:val="it-IT"/>
        </w:rPr>
      </w:pPr>
    </w:p>
    <w:p w14:paraId="6AF020FD" w14:textId="4B9FE473" w:rsidR="006548AD" w:rsidRPr="000F430E" w:rsidRDefault="00BF1BA7" w:rsidP="00AF085C">
      <w:pPr>
        <w:jc w:val="both"/>
        <w:rPr>
          <w:rFonts w:cstheme="minorHAnsi"/>
          <w:bCs/>
          <w:iCs/>
          <w:noProof/>
          <w:sz w:val="18"/>
          <w:szCs w:val="18"/>
          <w:lang w:val="it-IT"/>
        </w:rPr>
      </w:pPr>
      <w:r w:rsidRPr="000F430E">
        <w:rPr>
          <w:rFonts w:cstheme="minorHAnsi"/>
          <w:bCs/>
          <w:iCs/>
          <w:noProof/>
          <w:sz w:val="18"/>
          <w:szCs w:val="18"/>
          <w:lang w:val="it-IT"/>
        </w:rPr>
        <w:t>Le domande di autorizzazione per trastuzumab deruxtecan</w:t>
      </w:r>
      <w:r w:rsidR="00423281" w:rsidRPr="000F430E">
        <w:rPr>
          <w:rFonts w:cstheme="minorHAnsi"/>
          <w:bCs/>
          <w:iCs/>
          <w:noProof/>
          <w:sz w:val="18"/>
          <w:szCs w:val="18"/>
          <w:lang w:val="it-IT"/>
        </w:rPr>
        <w:t xml:space="preserve"> ne</w:t>
      </w:r>
      <w:r w:rsidR="00F51FB9" w:rsidRPr="000F430E">
        <w:rPr>
          <w:rFonts w:cstheme="minorHAnsi"/>
          <w:bCs/>
          <w:iCs/>
          <w:noProof/>
          <w:sz w:val="18"/>
          <w:szCs w:val="18"/>
          <w:lang w:val="it-IT"/>
        </w:rPr>
        <w:t xml:space="preserve">l </w:t>
      </w:r>
      <w:r w:rsidR="00423281" w:rsidRPr="000F430E">
        <w:rPr>
          <w:rFonts w:cstheme="minorHAnsi"/>
          <w:bCs/>
          <w:iCs/>
          <w:noProof/>
          <w:sz w:val="18"/>
          <w:szCs w:val="18"/>
          <w:lang w:val="it-IT"/>
        </w:rPr>
        <w:t>carcinom</w:t>
      </w:r>
      <w:r w:rsidR="00F51FB9" w:rsidRPr="000F430E">
        <w:rPr>
          <w:rFonts w:cstheme="minorHAnsi"/>
          <w:bCs/>
          <w:iCs/>
          <w:noProof/>
          <w:sz w:val="18"/>
          <w:szCs w:val="18"/>
          <w:lang w:val="it-IT"/>
        </w:rPr>
        <w:t>a</w:t>
      </w:r>
      <w:r w:rsidR="00423281" w:rsidRPr="000F430E">
        <w:rPr>
          <w:rFonts w:cstheme="minorHAnsi"/>
          <w:bCs/>
          <w:iCs/>
          <w:noProof/>
          <w:sz w:val="18"/>
          <w:szCs w:val="18"/>
          <w:lang w:val="it-IT"/>
        </w:rPr>
        <w:t xml:space="preserve"> ma</w:t>
      </w:r>
      <w:r w:rsidR="00AF085C" w:rsidRPr="000F430E">
        <w:rPr>
          <w:rFonts w:cstheme="minorHAnsi"/>
          <w:bCs/>
          <w:iCs/>
          <w:noProof/>
          <w:sz w:val="18"/>
          <w:szCs w:val="18"/>
          <w:lang w:val="it-IT"/>
        </w:rPr>
        <w:t xml:space="preserve">mmario e </w:t>
      </w:r>
      <w:r w:rsidR="00423281" w:rsidRPr="000F430E">
        <w:rPr>
          <w:rFonts w:cstheme="minorHAnsi"/>
          <w:bCs/>
          <w:iCs/>
          <w:noProof/>
          <w:sz w:val="18"/>
          <w:szCs w:val="18"/>
          <w:lang w:val="it-IT"/>
        </w:rPr>
        <w:t xml:space="preserve"> gastr</w:t>
      </w:r>
      <w:r w:rsidR="00AF085C" w:rsidRPr="000F430E">
        <w:rPr>
          <w:rFonts w:cstheme="minorHAnsi"/>
          <w:bCs/>
          <w:iCs/>
          <w:noProof/>
          <w:sz w:val="18"/>
          <w:szCs w:val="18"/>
          <w:lang w:val="it-IT"/>
        </w:rPr>
        <w:t>ico</w:t>
      </w:r>
      <w:r w:rsidRPr="000F430E">
        <w:rPr>
          <w:rFonts w:cstheme="minorHAnsi"/>
          <w:bCs/>
          <w:iCs/>
          <w:noProof/>
          <w:sz w:val="18"/>
          <w:szCs w:val="18"/>
          <w:lang w:val="it-IT"/>
        </w:rPr>
        <w:t xml:space="preserve"> sono attualmente in fase di revisione in</w:t>
      </w:r>
      <w:r w:rsidR="00A23AA2" w:rsidRPr="000F430E">
        <w:rPr>
          <w:rFonts w:cstheme="minorHAnsi"/>
          <w:bCs/>
          <w:iCs/>
          <w:noProof/>
          <w:sz w:val="18"/>
          <w:szCs w:val="18"/>
          <w:lang w:val="it-IT"/>
        </w:rPr>
        <w:t xml:space="preserve"> diversi Paesi</w:t>
      </w:r>
      <w:r w:rsidR="00F51FB9" w:rsidRPr="000F430E">
        <w:rPr>
          <w:rFonts w:cstheme="minorHAnsi"/>
          <w:bCs/>
          <w:iCs/>
          <w:noProof/>
          <w:sz w:val="18"/>
          <w:szCs w:val="18"/>
          <w:lang w:val="it-IT"/>
        </w:rPr>
        <w:t>.</w:t>
      </w:r>
      <w:r w:rsidR="00A23AA2" w:rsidRPr="000F430E">
        <w:rPr>
          <w:rFonts w:cstheme="minorHAnsi"/>
          <w:bCs/>
          <w:iCs/>
          <w:noProof/>
          <w:sz w:val="18"/>
          <w:szCs w:val="18"/>
          <w:lang w:val="it-IT"/>
        </w:rPr>
        <w:t xml:space="preserve"> </w:t>
      </w:r>
    </w:p>
    <w:p w14:paraId="30A445B5" w14:textId="77777777" w:rsidR="00AF085C" w:rsidRPr="000F430E" w:rsidRDefault="00AF085C" w:rsidP="00AF085C">
      <w:pPr>
        <w:jc w:val="both"/>
        <w:rPr>
          <w:rFonts w:cstheme="minorHAnsi"/>
          <w:bCs/>
          <w:i/>
          <w:iCs/>
          <w:sz w:val="18"/>
          <w:szCs w:val="18"/>
          <w:u w:val="single"/>
          <w:lang w:val="it-IT"/>
        </w:rPr>
      </w:pPr>
    </w:p>
    <w:p w14:paraId="115B0916" w14:textId="5AF6664D" w:rsidR="00A04A45" w:rsidRPr="000F430E" w:rsidRDefault="00C76A9D" w:rsidP="00A04A45">
      <w:pPr>
        <w:pStyle w:val="NormaleWeb"/>
        <w:shd w:val="clear" w:color="auto" w:fill="FFFFFF"/>
        <w:spacing w:after="120"/>
        <w:textAlignment w:val="baseline"/>
        <w:rPr>
          <w:rStyle w:val="Enfasigrassetto"/>
          <w:rFonts w:asciiTheme="minorHAnsi" w:hAnsiTheme="minorHAnsi" w:cstheme="minorHAnsi"/>
          <w:sz w:val="18"/>
          <w:szCs w:val="18"/>
          <w:bdr w:val="none" w:sz="0" w:space="0" w:color="auto" w:frame="1"/>
          <w:lang w:val="it-IT"/>
        </w:rPr>
      </w:pPr>
      <w:r w:rsidRPr="000F430E">
        <w:rPr>
          <w:rStyle w:val="Enfasigrassetto"/>
          <w:rFonts w:asciiTheme="minorHAnsi" w:hAnsiTheme="minorHAnsi" w:cstheme="minorHAnsi"/>
          <w:sz w:val="18"/>
          <w:szCs w:val="18"/>
          <w:bdr w:val="none" w:sz="0" w:space="0" w:color="auto" w:frame="1"/>
          <w:lang w:val="it-IT"/>
        </w:rPr>
        <w:t>C</w:t>
      </w:r>
      <w:r w:rsidR="00A04A45" w:rsidRPr="000F430E">
        <w:rPr>
          <w:rStyle w:val="Enfasigrassetto"/>
          <w:rFonts w:asciiTheme="minorHAnsi" w:hAnsiTheme="minorHAnsi" w:cstheme="minorHAnsi"/>
          <w:sz w:val="18"/>
          <w:szCs w:val="18"/>
          <w:bdr w:val="none" w:sz="0" w:space="0" w:color="auto" w:frame="1"/>
          <w:lang w:val="it-IT"/>
        </w:rPr>
        <w:t>ollaborazione tra Daiichi Sankyo e AstraZeneca</w:t>
      </w:r>
    </w:p>
    <w:p w14:paraId="32B3C7E0" w14:textId="666C114D" w:rsidR="00EC39E7" w:rsidRPr="000F430E" w:rsidRDefault="00A22A3C" w:rsidP="00EA3560">
      <w:pPr>
        <w:jc w:val="both"/>
        <w:rPr>
          <w:rFonts w:cstheme="minorHAnsi"/>
          <w:sz w:val="18"/>
          <w:szCs w:val="18"/>
          <w:lang w:val="it-IT"/>
        </w:rPr>
      </w:pPr>
      <w:hyperlink r:id="rId18" w:history="1">
        <w:r w:rsidR="00A04A45" w:rsidRPr="000F430E">
          <w:rPr>
            <w:rStyle w:val="Collegamentoipertestuale"/>
            <w:rFonts w:asciiTheme="minorHAnsi" w:hAnsiTheme="minorHAnsi" w:cstheme="minorHAnsi"/>
            <w:sz w:val="18"/>
            <w:szCs w:val="18"/>
            <w:lang w:val="it-IT"/>
          </w:rPr>
          <w:t>A marzo 2019</w:t>
        </w:r>
      </w:hyperlink>
      <w:r w:rsidR="00A04A45" w:rsidRPr="000F430E">
        <w:rPr>
          <w:rFonts w:cstheme="minorHAnsi"/>
          <w:sz w:val="18"/>
          <w:szCs w:val="18"/>
          <w:lang w:val="it-IT"/>
        </w:rPr>
        <w:t xml:space="preserve">, Daiichi Sankyo e AstraZeneca hanno finalizzato una collaborazione a livello globale al fine di sviluppare e commercializzare congiuntamente trastuzumab deruxtecan, a cui si è aggiunto datopotamab deruxtecan a </w:t>
      </w:r>
      <w:hyperlink r:id="rId19" w:history="1">
        <w:r w:rsidR="00A04A45" w:rsidRPr="000F430E">
          <w:rPr>
            <w:rStyle w:val="Collegamentoipertestuale"/>
            <w:rFonts w:asciiTheme="minorHAnsi" w:hAnsiTheme="minorHAnsi" w:cstheme="minorHAnsi"/>
            <w:sz w:val="18"/>
            <w:szCs w:val="18"/>
            <w:lang w:val="it-IT"/>
          </w:rPr>
          <w:t xml:space="preserve">luglio 2020 </w:t>
        </w:r>
      </w:hyperlink>
      <w:r w:rsidR="00A04A45" w:rsidRPr="000F430E">
        <w:rPr>
          <w:rFonts w:cstheme="minorHAnsi"/>
          <w:sz w:val="18"/>
          <w:szCs w:val="18"/>
          <w:lang w:val="it-IT"/>
        </w:rPr>
        <w:t xml:space="preserve">. L’accordo riguarda tutto il mondo, eccetto il Giappone, dove Daiichi Sankyo manterrà i diritti esclusivi per ciascun ADC. Daiichi Sankyo sarà unica responsabile per la produzione e la fornitura di </w:t>
      </w:r>
      <w:r w:rsidR="00EB2D5E" w:rsidRPr="000F430E">
        <w:rPr>
          <w:rFonts w:cstheme="minorHAnsi"/>
          <w:sz w:val="18"/>
          <w:szCs w:val="18"/>
          <w:lang w:val="it-IT"/>
        </w:rPr>
        <w:t>trastuzumab deruxtecan</w:t>
      </w:r>
      <w:r w:rsidR="00A04A45" w:rsidRPr="000F430E">
        <w:rPr>
          <w:rFonts w:cstheme="minorHAnsi"/>
          <w:sz w:val="18"/>
          <w:szCs w:val="18"/>
          <w:lang w:val="it-IT"/>
        </w:rPr>
        <w:t xml:space="preserve"> e datopotamab deruxtecan. </w:t>
      </w:r>
    </w:p>
    <w:p w14:paraId="4980FD50" w14:textId="77777777" w:rsidR="00FC35B3" w:rsidRPr="000F430E" w:rsidRDefault="00FC35B3" w:rsidP="00A04A45">
      <w:pPr>
        <w:widowControl w:val="0"/>
        <w:autoSpaceDE w:val="0"/>
        <w:autoSpaceDN w:val="0"/>
        <w:jc w:val="both"/>
        <w:rPr>
          <w:rFonts w:cstheme="minorHAnsi"/>
          <w:b/>
          <w:bCs/>
          <w:sz w:val="18"/>
          <w:szCs w:val="18"/>
          <w:lang w:val="it-IT"/>
        </w:rPr>
      </w:pPr>
    </w:p>
    <w:p w14:paraId="2204101D" w14:textId="75F12C25" w:rsidR="00A04A45" w:rsidRPr="000F430E" w:rsidRDefault="00A04A45" w:rsidP="00A04A45">
      <w:pPr>
        <w:widowControl w:val="0"/>
        <w:autoSpaceDE w:val="0"/>
        <w:autoSpaceDN w:val="0"/>
        <w:jc w:val="both"/>
        <w:rPr>
          <w:rFonts w:cstheme="minorHAnsi"/>
          <w:b/>
          <w:bCs/>
          <w:sz w:val="18"/>
          <w:szCs w:val="18"/>
          <w:lang w:val="it-IT"/>
        </w:rPr>
      </w:pPr>
      <w:r w:rsidRPr="000F430E">
        <w:rPr>
          <w:rFonts w:cstheme="minorHAnsi"/>
          <w:b/>
          <w:bCs/>
          <w:sz w:val="18"/>
          <w:szCs w:val="18"/>
          <w:lang w:val="it-IT"/>
        </w:rPr>
        <w:t xml:space="preserve">Daiichi Sankyo </w:t>
      </w:r>
    </w:p>
    <w:p w14:paraId="22C08F4F" w14:textId="39BF8FB5" w:rsidR="00BC3CBA" w:rsidRPr="000F430E" w:rsidRDefault="004C62EF" w:rsidP="004C62EF">
      <w:pPr>
        <w:tabs>
          <w:tab w:val="left" w:pos="4770"/>
        </w:tabs>
        <w:spacing w:after="100"/>
        <w:jc w:val="both"/>
        <w:rPr>
          <w:rFonts w:cstheme="minorHAnsi"/>
          <w:bCs/>
          <w:sz w:val="18"/>
          <w:szCs w:val="18"/>
          <w:lang w:val="it-IT"/>
        </w:rPr>
      </w:pPr>
      <w:r w:rsidRPr="000F430E">
        <w:rPr>
          <w:rFonts w:cstheme="minorHAnsi"/>
          <w:bCs/>
          <w:sz w:val="18"/>
          <w:szCs w:val="18"/>
          <w:lang w:val="it-IT"/>
        </w:rPr>
        <w:t xml:space="preserve">Daiichi Sankyo è un Gruppo attivamente impegnato nello sviluppo e diffusione di terapie innovative con la mission di “contribuire all’arricchimento della qualità della vita in tutto il mondo”, facendo leva su una ricerca scientifica e una tecnologia di prima classe. Oltre a mantenere il suo attuale portafoglio di farmaci per il trattamento del </w:t>
      </w:r>
      <w:r w:rsidR="00C76A9D" w:rsidRPr="000F430E">
        <w:rPr>
          <w:rFonts w:cstheme="minorHAnsi"/>
          <w:bCs/>
          <w:sz w:val="18"/>
          <w:szCs w:val="18"/>
          <w:lang w:val="it-IT"/>
        </w:rPr>
        <w:t xml:space="preserve">cancro </w:t>
      </w:r>
      <w:r w:rsidRPr="000F430E">
        <w:rPr>
          <w:rFonts w:cstheme="minorHAnsi"/>
          <w:bCs/>
          <w:sz w:val="18"/>
          <w:szCs w:val="18"/>
          <w:lang w:val="it-IT"/>
        </w:rPr>
        <w:t xml:space="preserve">e delle malattie cardiovascolari, Daiichi Sankyo si dedica principalmente allo sviluppo di nuove terapie per le persone affette da cancro o da altre malattie con elevati bisogni medici non ancora soddisfatti. Con oltre 100 anni di esperienza scientifica e una presenza in più di 20 Paesi, Daiichi Sankyo e i suoi 16.000 dipendenti in tutto il mondo, contano su una ricca eredità di innovazione per realizzare la Vision del Gruppo al 2030 di diventare una “Global Healthcare Company Innovativa che contribuisce allo Sviluppo Sostenibile della Società”. Per maggiori informazioni visita il sito </w:t>
      </w:r>
      <w:hyperlink r:id="rId20" w:history="1">
        <w:r w:rsidRPr="000F430E">
          <w:rPr>
            <w:rFonts w:cstheme="minorHAnsi"/>
            <w:bCs/>
            <w:color w:val="0070C0"/>
            <w:sz w:val="18"/>
            <w:szCs w:val="18"/>
            <w:u w:val="single"/>
            <w:lang w:val="it-IT"/>
          </w:rPr>
          <w:t>www.daiichi-sankyo.it</w:t>
        </w:r>
      </w:hyperlink>
    </w:p>
    <w:p w14:paraId="3448F8A0" w14:textId="77777777" w:rsidR="00AD2160" w:rsidRPr="000F430E" w:rsidRDefault="00AD2160" w:rsidP="00405436">
      <w:pPr>
        <w:widowControl w:val="0"/>
        <w:autoSpaceDE w:val="0"/>
        <w:autoSpaceDN w:val="0"/>
        <w:jc w:val="both"/>
        <w:rPr>
          <w:rFonts w:cstheme="minorHAnsi"/>
          <w:b/>
          <w:bCs/>
          <w:sz w:val="18"/>
          <w:szCs w:val="18"/>
          <w:lang w:val="it-IT"/>
        </w:rPr>
      </w:pPr>
    </w:p>
    <w:p w14:paraId="41D3FEDF" w14:textId="5ED1DE45" w:rsidR="00405436" w:rsidRPr="000F430E" w:rsidRDefault="00405436" w:rsidP="00405436">
      <w:pPr>
        <w:widowControl w:val="0"/>
        <w:autoSpaceDE w:val="0"/>
        <w:autoSpaceDN w:val="0"/>
        <w:jc w:val="both"/>
        <w:rPr>
          <w:rFonts w:cstheme="minorHAnsi"/>
          <w:b/>
          <w:bCs/>
          <w:sz w:val="18"/>
          <w:szCs w:val="18"/>
          <w:lang w:val="it-IT"/>
        </w:rPr>
      </w:pPr>
      <w:r w:rsidRPr="000F430E">
        <w:rPr>
          <w:rFonts w:cstheme="minorHAnsi"/>
          <w:b/>
          <w:bCs/>
          <w:sz w:val="18"/>
          <w:szCs w:val="18"/>
          <w:lang w:val="it-IT"/>
        </w:rPr>
        <w:t xml:space="preserve">AstraZeneca in </w:t>
      </w:r>
      <w:r w:rsidR="009068C6" w:rsidRPr="000F430E">
        <w:rPr>
          <w:rFonts w:cstheme="minorHAnsi"/>
          <w:b/>
          <w:bCs/>
          <w:sz w:val="18"/>
          <w:szCs w:val="18"/>
          <w:lang w:val="it-IT"/>
        </w:rPr>
        <w:t>O</w:t>
      </w:r>
      <w:r w:rsidRPr="000F430E">
        <w:rPr>
          <w:rFonts w:cstheme="minorHAnsi"/>
          <w:b/>
          <w:bCs/>
          <w:sz w:val="18"/>
          <w:szCs w:val="18"/>
          <w:lang w:val="it-IT"/>
        </w:rPr>
        <w:t>ncologia</w:t>
      </w:r>
    </w:p>
    <w:p w14:paraId="7CE58E68" w14:textId="77777777" w:rsidR="00405436" w:rsidRPr="000F430E" w:rsidRDefault="00405436" w:rsidP="00405436">
      <w:pPr>
        <w:autoSpaceDE w:val="0"/>
        <w:autoSpaceDN w:val="0"/>
        <w:jc w:val="both"/>
        <w:rPr>
          <w:rFonts w:cstheme="minorHAnsi"/>
          <w:bCs/>
          <w:sz w:val="18"/>
          <w:szCs w:val="18"/>
          <w:lang w:val="it-IT"/>
        </w:rPr>
      </w:pPr>
      <w:r w:rsidRPr="000F430E">
        <w:rPr>
          <w:rFonts w:cstheme="minorHAnsi"/>
          <w:bCs/>
          <w:sz w:val="18"/>
          <w:szCs w:val="18"/>
          <w:lang w:val="it-IT"/>
        </w:rPr>
        <w:t>AstraZeneca è un’azienda biofarmaceutica globale impegnata nella ricerca, nello sviluppo e nella commercializzazione di farmaci etici per il trattamento di patologie oncologiche, cardiovascolari, renali, metaboliche, respiratorie e immunologiche.</w:t>
      </w:r>
    </w:p>
    <w:p w14:paraId="5F10C3AD" w14:textId="4549C470" w:rsidR="00B91A95" w:rsidRPr="000F430E" w:rsidRDefault="00405436" w:rsidP="005B575D">
      <w:pPr>
        <w:autoSpaceDE w:val="0"/>
        <w:autoSpaceDN w:val="0"/>
        <w:jc w:val="both"/>
        <w:rPr>
          <w:rFonts w:cstheme="minorHAnsi"/>
          <w:bCs/>
          <w:sz w:val="18"/>
          <w:szCs w:val="18"/>
          <w:lang w:val="it-IT"/>
        </w:rPr>
      </w:pPr>
      <w:r w:rsidRPr="000F430E">
        <w:rPr>
          <w:rFonts w:cstheme="minorHAnsi"/>
          <w:bCs/>
          <w:sz w:val="18"/>
          <w:szCs w:val="18"/>
          <w:lang w:val="it-IT"/>
        </w:rPr>
        <w:t>In Oncologia, AstraZeneca si impegna a identificare e sviluppare soluzioni terapeutiche sempre più mirate ed efficaci per rispondere nel miglior modo possibile ai bisogni clinici dei pazienti. Con un ampio portfolio in rapida crescita, AstraZeneca è consapevole che la cura non si esaurisca con il trattamento. Per questo, crede fortemente nella collaborazione di tutti gli attori del Sistema Salute, affinché le intuizioni della Ricerca incontrino soluzioni che possano migliorare i percorsi di cura dei pazienti.</w:t>
      </w:r>
    </w:p>
    <w:p w14:paraId="3A7C3DB7" w14:textId="4B585EAF" w:rsidR="00B91A95" w:rsidRPr="000F430E" w:rsidRDefault="00B91A95" w:rsidP="00E000E2">
      <w:pPr>
        <w:jc w:val="both"/>
        <w:rPr>
          <w:rFonts w:cstheme="minorHAnsi"/>
          <w:b/>
          <w:bCs/>
          <w:color w:val="00519E"/>
          <w:sz w:val="20"/>
          <w:szCs w:val="20"/>
          <w:u w:color="00519E"/>
          <w:lang w:val="it-IT"/>
        </w:rPr>
      </w:pPr>
    </w:p>
    <w:p w14:paraId="18354B2D" w14:textId="77777777" w:rsidR="00B91A95" w:rsidRPr="000F430E" w:rsidRDefault="00B91A95" w:rsidP="00E000E2">
      <w:pPr>
        <w:jc w:val="both"/>
        <w:rPr>
          <w:rFonts w:ascii="Times New Roman" w:hAnsi="Times New Roman"/>
          <w:b/>
          <w:bCs/>
          <w:color w:val="00519E"/>
          <w:sz w:val="20"/>
          <w:szCs w:val="20"/>
          <w:u w:color="00519E"/>
          <w:lang w:val="it-IT"/>
        </w:rPr>
      </w:pPr>
    </w:p>
    <w:p w14:paraId="7AB78015" w14:textId="1AF98C8E" w:rsidR="00E000E2" w:rsidRPr="000F430E" w:rsidRDefault="00E000E2" w:rsidP="00E000E2">
      <w:pPr>
        <w:jc w:val="both"/>
        <w:rPr>
          <w:rFonts w:ascii="Times New Roman" w:eastAsia="Times New Roman" w:hAnsi="Times New Roman" w:cs="Times New Roman"/>
          <w:b/>
          <w:bCs/>
          <w:sz w:val="20"/>
          <w:szCs w:val="20"/>
          <w:lang w:val="it-IT"/>
        </w:rPr>
      </w:pPr>
      <w:r w:rsidRPr="000F430E">
        <w:rPr>
          <w:rFonts w:ascii="Times New Roman" w:hAnsi="Times New Roman"/>
          <w:b/>
          <w:bCs/>
          <w:color w:val="00519E"/>
          <w:sz w:val="20"/>
          <w:szCs w:val="20"/>
          <w:u w:color="00519E"/>
          <w:lang w:val="it-IT"/>
        </w:rPr>
        <w:t xml:space="preserve">Contatti </w:t>
      </w:r>
    </w:p>
    <w:p w14:paraId="17197115" w14:textId="77777777" w:rsidR="00405436" w:rsidRPr="000F430E" w:rsidRDefault="00405436" w:rsidP="00405436">
      <w:pPr>
        <w:pStyle w:val="Pidipagina"/>
        <w:tabs>
          <w:tab w:val="center" w:pos="3686"/>
          <w:tab w:val="right" w:pos="9498"/>
        </w:tabs>
        <w:spacing w:after="60"/>
        <w:rPr>
          <w:rFonts w:ascii="Times New Roman" w:eastAsia="Times New Roman" w:hAnsi="Times New Roman" w:cs="Times New Roman"/>
          <w:b/>
          <w:bCs/>
          <w:sz w:val="20"/>
          <w:szCs w:val="20"/>
          <w:lang w:val="it-IT"/>
        </w:rPr>
      </w:pPr>
      <w:r w:rsidRPr="000F430E">
        <w:rPr>
          <w:rFonts w:ascii="Times New Roman" w:hAnsi="Times New Roman"/>
          <w:b/>
          <w:bCs/>
          <w:sz w:val="20"/>
          <w:szCs w:val="20"/>
          <w:lang w:val="it-IT"/>
        </w:rPr>
        <w:t>Daiichi Sankyo</w:t>
      </w:r>
      <w:r w:rsidRPr="000F430E">
        <w:rPr>
          <w:rFonts w:ascii="Times New Roman" w:hAnsi="Times New Roman"/>
          <w:b/>
          <w:bCs/>
          <w:sz w:val="20"/>
          <w:szCs w:val="20"/>
          <w:lang w:val="it-IT"/>
        </w:rPr>
        <w:tab/>
      </w:r>
      <w:r w:rsidRPr="000F430E">
        <w:rPr>
          <w:rFonts w:ascii="Times New Roman" w:hAnsi="Times New Roman"/>
          <w:b/>
          <w:bCs/>
          <w:sz w:val="20"/>
          <w:szCs w:val="20"/>
          <w:lang w:val="it-IT"/>
        </w:rPr>
        <w:tab/>
        <w:t xml:space="preserve">      </w:t>
      </w:r>
      <w:r w:rsidRPr="000F430E">
        <w:rPr>
          <w:rFonts w:ascii="Times New Roman" w:hAnsi="Times New Roman"/>
          <w:b/>
          <w:bCs/>
          <w:sz w:val="20"/>
          <w:szCs w:val="20"/>
          <w:lang w:val="it-IT"/>
        </w:rPr>
        <w:tab/>
        <w:t xml:space="preserve">     AstraZeneca Italia</w:t>
      </w:r>
      <w:r w:rsidRPr="000F430E">
        <w:rPr>
          <w:rFonts w:ascii="Times New Roman" w:hAnsi="Times New Roman"/>
          <w:b/>
          <w:bCs/>
          <w:sz w:val="20"/>
          <w:szCs w:val="20"/>
          <w:lang w:val="it-IT"/>
        </w:rPr>
        <w:tab/>
      </w:r>
    </w:p>
    <w:p w14:paraId="4613F83D" w14:textId="77777777" w:rsidR="00405436" w:rsidRPr="000F430E" w:rsidRDefault="00405436" w:rsidP="00405436">
      <w:pPr>
        <w:pStyle w:val="NormaleWeb"/>
        <w:rPr>
          <w:rFonts w:ascii="Helvetica" w:hAnsi="Helvetica" w:cs="Helvetica"/>
          <w:color w:val="3C4242"/>
          <w:spacing w:val="5"/>
          <w:lang w:val="it-IT"/>
        </w:rPr>
      </w:pPr>
      <w:r w:rsidRPr="000F430E">
        <w:rPr>
          <w:sz w:val="20"/>
          <w:szCs w:val="20"/>
          <w:lang w:val="it-IT"/>
        </w:rPr>
        <w:t>Elisa Porchetti                                         Valeria Carbone Basile</w:t>
      </w:r>
      <w:r w:rsidRPr="000F430E">
        <w:rPr>
          <w:rFonts w:ascii="Helvetica" w:hAnsi="Helvetica" w:cs="Helvetica"/>
          <w:b/>
          <w:bCs/>
          <w:color w:val="3C4242"/>
          <w:spacing w:val="5"/>
          <w:lang w:val="it-IT"/>
        </w:rPr>
        <w:t xml:space="preserve"> </w:t>
      </w:r>
      <w:r w:rsidRPr="000F430E">
        <w:rPr>
          <w:rFonts w:ascii="Helvetica" w:hAnsi="Helvetica" w:cs="Helvetica"/>
          <w:b/>
          <w:bCs/>
          <w:color w:val="3C4242"/>
          <w:spacing w:val="5"/>
          <w:lang w:val="it-IT"/>
        </w:rPr>
        <w:tab/>
      </w:r>
      <w:r w:rsidRPr="000F430E">
        <w:rPr>
          <w:rFonts w:ascii="Helvetica" w:hAnsi="Helvetica" w:cs="Helvetica"/>
          <w:b/>
          <w:bCs/>
          <w:color w:val="3C4242"/>
          <w:spacing w:val="5"/>
          <w:lang w:val="it-IT"/>
        </w:rPr>
        <w:tab/>
        <w:t xml:space="preserve">         </w:t>
      </w:r>
      <w:r w:rsidRPr="000F430E">
        <w:rPr>
          <w:sz w:val="20"/>
          <w:szCs w:val="20"/>
          <w:lang w:val="it-IT"/>
        </w:rPr>
        <w:t>Ilaria Piuzzi</w:t>
      </w:r>
      <w:r w:rsidRPr="000F430E">
        <w:rPr>
          <w:sz w:val="20"/>
          <w:szCs w:val="20"/>
          <w:lang w:val="it-IT"/>
        </w:rPr>
        <w:tab/>
        <w:t xml:space="preserve">                                          </w:t>
      </w:r>
    </w:p>
    <w:p w14:paraId="072717B0" w14:textId="77777777" w:rsidR="00405436" w:rsidRPr="000F430E" w:rsidRDefault="00405436" w:rsidP="00405436">
      <w:pPr>
        <w:pStyle w:val="Pidipagina"/>
        <w:tabs>
          <w:tab w:val="center" w:pos="3969"/>
          <w:tab w:val="right" w:pos="9498"/>
        </w:tabs>
        <w:rPr>
          <w:rFonts w:ascii="Times New Roman" w:eastAsia="Times New Roman" w:hAnsi="Times New Roman" w:cs="Times New Roman"/>
          <w:sz w:val="20"/>
          <w:szCs w:val="20"/>
          <w:lang w:val="nl-NL"/>
        </w:rPr>
      </w:pPr>
      <w:r w:rsidRPr="000F430E">
        <w:rPr>
          <w:rFonts w:ascii="Times New Roman" w:hAnsi="Times New Roman"/>
          <w:sz w:val="20"/>
          <w:szCs w:val="20"/>
          <w:lang w:val="nl-NL"/>
        </w:rPr>
        <w:t xml:space="preserve">Tel.+39 0685255-202                              Tel: +39 339 1704748           </w:t>
      </w:r>
      <w:r w:rsidRPr="000F430E">
        <w:rPr>
          <w:rFonts w:ascii="Times New Roman" w:hAnsi="Times New Roman"/>
          <w:sz w:val="20"/>
          <w:szCs w:val="20"/>
          <w:lang w:val="nl-NL"/>
        </w:rPr>
        <w:tab/>
        <w:t xml:space="preserve">                               </w:t>
      </w:r>
      <w:r w:rsidRPr="000F430E">
        <w:rPr>
          <w:rFonts w:ascii="Times New Roman" w:hAnsi="Times New Roman" w:cs="Times New Roman"/>
          <w:sz w:val="20"/>
          <w:szCs w:val="20"/>
          <w:lang w:val="nl-NL"/>
        </w:rPr>
        <w:t xml:space="preserve">M: +39 340 9420016 </w:t>
      </w:r>
      <w:r w:rsidRPr="000F430E">
        <w:rPr>
          <w:rFonts w:ascii="Times New Roman" w:hAnsi="Times New Roman"/>
          <w:sz w:val="20"/>
          <w:szCs w:val="20"/>
          <w:lang w:val="nl-NL"/>
        </w:rPr>
        <w:t xml:space="preserve">        </w:t>
      </w:r>
    </w:p>
    <w:p w14:paraId="01C47CBB" w14:textId="77777777" w:rsidR="00405436" w:rsidRPr="00500F90" w:rsidRDefault="00A22A3C" w:rsidP="00405436">
      <w:pPr>
        <w:pStyle w:val="Pidipagina"/>
        <w:tabs>
          <w:tab w:val="center" w:pos="4962"/>
          <w:tab w:val="center" w:pos="5400"/>
          <w:tab w:val="left" w:pos="5580"/>
          <w:tab w:val="right" w:pos="9498"/>
        </w:tabs>
        <w:rPr>
          <w:rStyle w:val="Nessuno"/>
          <w:rFonts w:ascii="Times New Roman" w:eastAsia="Times New Roman" w:hAnsi="Times New Roman" w:cs="Times New Roman"/>
          <w:lang w:val="nl-NL"/>
        </w:rPr>
      </w:pPr>
      <w:hyperlink r:id="rId21" w:history="1">
        <w:r w:rsidR="00405436" w:rsidRPr="000F430E">
          <w:rPr>
            <w:rStyle w:val="Hyperlink0"/>
            <w:rFonts w:eastAsia="Calibri"/>
            <w:lang w:val="nl-NL"/>
          </w:rPr>
          <w:t>elisa.porchetti@daiichi-sankyo.it</w:t>
        </w:r>
      </w:hyperlink>
      <w:r w:rsidR="00405436" w:rsidRPr="000F430E">
        <w:rPr>
          <w:rStyle w:val="Nessuno"/>
          <w:rFonts w:ascii="Times New Roman" w:hAnsi="Times New Roman"/>
          <w:lang w:val="nl-NL"/>
        </w:rPr>
        <w:t xml:space="preserve">          </w:t>
      </w:r>
      <w:hyperlink r:id="rId22" w:history="1">
        <w:r w:rsidR="00405436" w:rsidRPr="000F430E">
          <w:rPr>
            <w:rStyle w:val="Hyperlink0"/>
            <w:rFonts w:eastAsia="Calibri"/>
            <w:lang w:val="nl-NL"/>
          </w:rPr>
          <w:t>valeria.carbonebasile@gmail.com</w:t>
        </w:r>
      </w:hyperlink>
      <w:r w:rsidR="00405436" w:rsidRPr="000F430E">
        <w:rPr>
          <w:rStyle w:val="Hyperlink0"/>
          <w:rFonts w:eastAsia="Calibri"/>
          <w:lang w:val="nl-NL"/>
        </w:rPr>
        <w:tab/>
      </w:r>
      <w:r w:rsidR="00405436" w:rsidRPr="000F430E">
        <w:rPr>
          <w:rFonts w:ascii="Times New Roman" w:hAnsi="Times New Roman" w:cs="Times New Roman"/>
          <w:sz w:val="20"/>
          <w:szCs w:val="20"/>
          <w:lang w:val="nl-NL"/>
        </w:rPr>
        <w:t xml:space="preserve">                       </w:t>
      </w:r>
      <w:hyperlink r:id="rId23" w:history="1">
        <w:r w:rsidR="00405436" w:rsidRPr="000F430E">
          <w:rPr>
            <w:rStyle w:val="Collegamentoipertestuale"/>
            <w:sz w:val="20"/>
            <w:szCs w:val="20"/>
            <w:lang w:val="nl-NL"/>
          </w:rPr>
          <w:t>ilaria.piuzzi@astrazeneca.com</w:t>
        </w:r>
      </w:hyperlink>
    </w:p>
    <w:p w14:paraId="1FD348F0" w14:textId="704E0913" w:rsidR="00FA7C7B" w:rsidRDefault="00FA7C7B" w:rsidP="00456280">
      <w:pPr>
        <w:autoSpaceDE w:val="0"/>
        <w:autoSpaceDN w:val="0"/>
        <w:spacing w:line="360" w:lineRule="auto"/>
        <w:rPr>
          <w:sz w:val="20"/>
          <w:szCs w:val="20"/>
          <w:lang w:val="nl-NL"/>
        </w:rPr>
      </w:pPr>
    </w:p>
    <w:p w14:paraId="7CBF120A" w14:textId="77777777" w:rsidR="008861D9" w:rsidRPr="00500F90" w:rsidRDefault="008861D9" w:rsidP="00456280">
      <w:pPr>
        <w:autoSpaceDE w:val="0"/>
        <w:autoSpaceDN w:val="0"/>
        <w:spacing w:line="360" w:lineRule="auto"/>
        <w:rPr>
          <w:sz w:val="20"/>
          <w:szCs w:val="20"/>
          <w:lang w:val="nl-NL"/>
        </w:rPr>
      </w:pPr>
    </w:p>
    <w:sectPr w:rsidR="008861D9" w:rsidRPr="00500F90" w:rsidSect="00D46814">
      <w:headerReference w:type="default" r:id="rId24"/>
      <w:footerReference w:type="default" r:id="rId25"/>
      <w:pgSz w:w="12240" w:h="15840"/>
      <w:pgMar w:top="1440" w:right="81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B87F6" w14:textId="77777777" w:rsidR="00892B24" w:rsidRDefault="00892B24" w:rsidP="00D46814">
      <w:r>
        <w:separator/>
      </w:r>
    </w:p>
  </w:endnote>
  <w:endnote w:type="continuationSeparator" w:id="0">
    <w:p w14:paraId="1F96EF38" w14:textId="77777777" w:rsidR="00892B24" w:rsidRDefault="00892B24" w:rsidP="00D46814">
      <w:r>
        <w:continuationSeparator/>
      </w:r>
    </w:p>
  </w:endnote>
  <w:endnote w:id="1">
    <w:p w14:paraId="50A076E1" w14:textId="421F932E" w:rsidR="008E2C7B" w:rsidRPr="00F97A72" w:rsidRDefault="008E2C7B" w:rsidP="008E2C7B">
      <w:pPr>
        <w:pStyle w:val="Testonotadichiusura"/>
        <w:rPr>
          <w:rFonts w:ascii="Times New Roman" w:hAnsi="Times New Roman" w:cs="Times New Roman"/>
          <w:sz w:val="18"/>
          <w:szCs w:val="18"/>
          <w:lang w:val="da-DK"/>
        </w:rPr>
      </w:pPr>
      <w:r w:rsidRPr="00F97A72">
        <w:rPr>
          <w:rFonts w:ascii="Times New Roman" w:hAnsi="Times New Roman" w:cs="Times New Roman"/>
          <w:sz w:val="18"/>
          <w:szCs w:val="18"/>
          <w:lang w:val="da-DK"/>
        </w:rPr>
        <w:t>References:</w:t>
      </w:r>
    </w:p>
    <w:p w14:paraId="36FD7AE4" w14:textId="77777777" w:rsidR="008E2C7B" w:rsidRPr="00F97A72" w:rsidRDefault="008E2C7B" w:rsidP="008E2C7B">
      <w:pPr>
        <w:rPr>
          <w:rFonts w:ascii="Times New Roman" w:hAnsi="Times New Roman" w:cs="Times New Roman"/>
          <w:sz w:val="18"/>
          <w:szCs w:val="18"/>
          <w:lang w:val="fr-FR"/>
        </w:rPr>
      </w:pPr>
      <w:r>
        <w:rPr>
          <w:rStyle w:val="Rimandonotadichiusura"/>
          <w:rFonts w:eastAsia="MS PGothic"/>
          <w:sz w:val="18"/>
          <w:szCs w:val="18"/>
        </w:rPr>
        <w:endnoteRef/>
      </w:r>
      <w:r w:rsidRPr="00F97A72">
        <w:rPr>
          <w:rFonts w:eastAsia="MS PGothic"/>
          <w:sz w:val="18"/>
          <w:szCs w:val="18"/>
          <w:lang w:val="da-DK"/>
        </w:rPr>
        <w:t xml:space="preserve"> </w:t>
      </w:r>
      <w:r w:rsidRPr="00F97A72">
        <w:rPr>
          <w:rFonts w:eastAsia="TimesNewRomanPSMT"/>
          <w:sz w:val="18"/>
          <w:szCs w:val="18"/>
          <w:lang w:val="da-DK"/>
        </w:rPr>
        <w:t xml:space="preserve">Sung H, et al. </w:t>
      </w:r>
      <w:r w:rsidRPr="00F97A72">
        <w:rPr>
          <w:i/>
          <w:iCs/>
          <w:color w:val="0000FF"/>
          <w:sz w:val="18"/>
          <w:szCs w:val="18"/>
          <w:lang w:val="fr-FR"/>
        </w:rPr>
        <w:t>CA Cancer J Clin</w:t>
      </w:r>
      <w:r w:rsidRPr="00F97A72">
        <w:rPr>
          <w:rFonts w:eastAsia="TimesNewRomanPSMT"/>
          <w:sz w:val="18"/>
          <w:szCs w:val="18"/>
          <w:lang w:val="fr-FR"/>
        </w:rPr>
        <w:t>. 2021;10.3322/caac.21660.</w:t>
      </w:r>
    </w:p>
  </w:endnote>
  <w:endnote w:id="2">
    <w:p w14:paraId="0E254D56" w14:textId="77777777" w:rsidR="00423281" w:rsidRPr="00943C19" w:rsidRDefault="00423281" w:rsidP="00423281">
      <w:pPr>
        <w:rPr>
          <w:sz w:val="18"/>
          <w:szCs w:val="18"/>
          <w:lang w:val="da-DK"/>
        </w:rPr>
      </w:pPr>
      <w:r>
        <w:rPr>
          <w:rStyle w:val="Rimandonotadichiusura"/>
          <w:rFonts w:eastAsia="MS PGothic"/>
          <w:sz w:val="18"/>
          <w:szCs w:val="18"/>
        </w:rPr>
        <w:endnoteRef/>
      </w:r>
      <w:r w:rsidRPr="00F97A72">
        <w:rPr>
          <w:rFonts w:eastAsia="MS PGothic"/>
          <w:sz w:val="18"/>
          <w:szCs w:val="18"/>
          <w:lang w:val="fr-FR"/>
        </w:rPr>
        <w:t xml:space="preserve"> </w:t>
      </w:r>
      <w:r w:rsidRPr="00F97A72">
        <w:rPr>
          <w:rFonts w:eastAsia="TimesNewRomanPSMT"/>
          <w:sz w:val="18"/>
          <w:szCs w:val="18"/>
          <w:lang w:val="fr-FR"/>
        </w:rPr>
        <w:t xml:space="preserve">Ahn S, et al. </w:t>
      </w:r>
      <w:r w:rsidRPr="00943C19">
        <w:rPr>
          <w:i/>
          <w:iCs/>
          <w:color w:val="0000FF"/>
          <w:sz w:val="18"/>
          <w:szCs w:val="18"/>
          <w:lang w:val="da-DK"/>
        </w:rPr>
        <w:t>J Pathol Transl Med</w:t>
      </w:r>
      <w:r w:rsidRPr="00943C19">
        <w:rPr>
          <w:i/>
          <w:iCs/>
          <w:sz w:val="18"/>
          <w:szCs w:val="18"/>
          <w:lang w:val="da-DK"/>
        </w:rPr>
        <w:t xml:space="preserve">. </w:t>
      </w:r>
      <w:r w:rsidRPr="00943C19">
        <w:rPr>
          <w:rFonts w:eastAsia="TimesNewRomanPSMT"/>
          <w:sz w:val="18"/>
          <w:szCs w:val="18"/>
          <w:lang w:val="da-DK"/>
        </w:rPr>
        <w:t>2019; 54(1): 34-44.</w:t>
      </w:r>
    </w:p>
  </w:endnote>
  <w:endnote w:id="3">
    <w:p w14:paraId="52439C25" w14:textId="77777777" w:rsidR="00423281" w:rsidRPr="00943C19" w:rsidRDefault="00423281" w:rsidP="00423281">
      <w:pPr>
        <w:pStyle w:val="Testonotadichiusura"/>
        <w:rPr>
          <w:rFonts w:ascii="Times New Roman" w:hAnsi="Times New Roman" w:cs="Times New Roman"/>
          <w:sz w:val="18"/>
          <w:szCs w:val="18"/>
          <w:lang w:val="da-DK"/>
        </w:rPr>
      </w:pPr>
      <w:r>
        <w:rPr>
          <w:rStyle w:val="Rimandonotadichiusura"/>
          <w:rFonts w:ascii="Times New Roman" w:hAnsi="Times New Roman" w:cs="Times New Roman"/>
          <w:sz w:val="18"/>
          <w:szCs w:val="18"/>
        </w:rPr>
        <w:endnoteRef/>
      </w:r>
      <w:r w:rsidRPr="00943C19">
        <w:rPr>
          <w:rFonts w:ascii="Times New Roman" w:hAnsi="Times New Roman" w:cs="Times New Roman"/>
          <w:sz w:val="18"/>
          <w:szCs w:val="18"/>
          <w:lang w:val="da-DK"/>
        </w:rPr>
        <w:t xml:space="preserve"> Iqbal N, et al. </w:t>
      </w:r>
      <w:hyperlink r:id="rId1" w:history="1">
        <w:r w:rsidRPr="00943C19">
          <w:rPr>
            <w:rStyle w:val="Collegamentoipertestuale"/>
            <w:sz w:val="18"/>
            <w:szCs w:val="18"/>
            <w:lang w:val="da-DK"/>
          </w:rPr>
          <w:t>Mol Biol Int</w:t>
        </w:r>
      </w:hyperlink>
      <w:r w:rsidRPr="00943C19">
        <w:rPr>
          <w:rFonts w:ascii="Times New Roman" w:hAnsi="Times New Roman" w:cs="Times New Roman"/>
          <w:sz w:val="18"/>
          <w:szCs w:val="18"/>
          <w:lang w:val="da-DK"/>
        </w:rPr>
        <w:t>. 2014;852748.</w:t>
      </w:r>
    </w:p>
  </w:endnote>
  <w:endnote w:id="4">
    <w:p w14:paraId="4DD8CC9F" w14:textId="77777777" w:rsidR="00423281" w:rsidRDefault="00423281" w:rsidP="00423281">
      <w:pPr>
        <w:pStyle w:val="Testonotadichiusura"/>
        <w:rPr>
          <w:rFonts w:ascii="Times New Roman" w:hAnsi="Times New Roman" w:cs="Times New Roman"/>
          <w:lang w:val="fr-FR"/>
        </w:rPr>
      </w:pPr>
      <w:r>
        <w:rPr>
          <w:rStyle w:val="Rimandonotadichiusura"/>
          <w:rFonts w:ascii="Times New Roman" w:hAnsi="Times New Roman" w:cs="Times New Roman"/>
          <w:sz w:val="18"/>
          <w:szCs w:val="18"/>
        </w:rPr>
        <w:endnoteRef/>
      </w:r>
      <w:r w:rsidRPr="00943C19">
        <w:rPr>
          <w:rFonts w:ascii="Times New Roman" w:hAnsi="Times New Roman" w:cs="Times New Roman"/>
          <w:sz w:val="18"/>
          <w:szCs w:val="18"/>
          <w:lang w:val="da-DK"/>
        </w:rPr>
        <w:t xml:space="preserve"> Pillai R, et al. </w:t>
      </w:r>
      <w:hyperlink r:id="rId2" w:history="1">
        <w:r w:rsidRPr="00943C19">
          <w:rPr>
            <w:rStyle w:val="Collegamentoipertestuale"/>
            <w:sz w:val="18"/>
            <w:szCs w:val="18"/>
            <w:lang w:val="da-DK"/>
          </w:rPr>
          <w:t>Cancer</w:t>
        </w:r>
      </w:hyperlink>
      <w:r w:rsidRPr="00943C19">
        <w:rPr>
          <w:rFonts w:ascii="Times New Roman" w:hAnsi="Times New Roman" w:cs="Times New Roman"/>
          <w:sz w:val="18"/>
          <w:szCs w:val="18"/>
          <w:lang w:val="da-DK"/>
        </w:rPr>
        <w:t xml:space="preserve">. </w:t>
      </w:r>
      <w:r>
        <w:rPr>
          <w:rFonts w:ascii="Times New Roman" w:hAnsi="Times New Roman" w:cs="Times New Roman"/>
          <w:sz w:val="18"/>
          <w:szCs w:val="18"/>
          <w:lang w:val="fr-FR"/>
        </w:rPr>
        <w:t>2017;1;123(21):4099-4105.</w:t>
      </w:r>
    </w:p>
  </w:endnote>
  <w:endnote w:id="5">
    <w:p w14:paraId="71AAE8AD" w14:textId="77777777" w:rsidR="00423281" w:rsidRDefault="00423281" w:rsidP="00423281">
      <w:pPr>
        <w:pStyle w:val="Testonotadichiusura"/>
        <w:rPr>
          <w:rFonts w:ascii="Times New Roman" w:hAnsi="Times New Roman" w:cs="Times New Roman"/>
          <w:sz w:val="18"/>
          <w:szCs w:val="18"/>
          <w:lang w:val="en-GB"/>
        </w:rPr>
      </w:pPr>
      <w:r>
        <w:rPr>
          <w:rFonts w:ascii="Times New Roman" w:hAnsi="Times New Roman" w:cs="Times New Roman"/>
          <w:sz w:val="18"/>
          <w:szCs w:val="18"/>
          <w:vertAlign w:val="superscript"/>
          <w:lang w:val="en-GB"/>
        </w:rPr>
        <w:endnoteRef/>
      </w:r>
      <w:r>
        <w:rPr>
          <w:rFonts w:ascii="Times New Roman" w:hAnsi="Times New Roman" w:cs="Times New Roman"/>
          <w:sz w:val="18"/>
          <w:szCs w:val="18"/>
          <w:vertAlign w:val="superscript"/>
          <w:lang w:val="fr-FR"/>
        </w:rPr>
        <w:t xml:space="preserve"> </w:t>
      </w:r>
      <w:r>
        <w:rPr>
          <w:rFonts w:ascii="Times New Roman" w:hAnsi="Times New Roman" w:cs="Times New Roman"/>
          <w:sz w:val="18"/>
          <w:szCs w:val="18"/>
          <w:lang w:val="fr-FR"/>
        </w:rPr>
        <w:t xml:space="preserve">Barok M, et al. </w:t>
      </w:r>
      <w:hyperlink r:id="rId3" w:history="1">
        <w:r>
          <w:rPr>
            <w:rStyle w:val="Collegamentoipertestuale"/>
            <w:iCs/>
            <w:sz w:val="18"/>
            <w:szCs w:val="18"/>
            <w:lang w:val="fr-FR"/>
          </w:rPr>
          <w:t>Breast Cancer Res</w:t>
        </w:r>
      </w:hyperlink>
      <w:r>
        <w:rPr>
          <w:rFonts w:ascii="Times New Roman" w:hAnsi="Times New Roman" w:cs="Times New Roman"/>
          <w:i/>
          <w:iCs/>
          <w:sz w:val="18"/>
          <w:szCs w:val="18"/>
          <w:lang w:val="fr-FR"/>
        </w:rPr>
        <w:t>.</w:t>
      </w:r>
      <w:r>
        <w:rPr>
          <w:rFonts w:ascii="Times New Roman" w:hAnsi="Times New Roman" w:cs="Times New Roman"/>
          <w:sz w:val="18"/>
          <w:szCs w:val="18"/>
          <w:lang w:val="en-GB"/>
        </w:rPr>
        <w:t xml:space="preserve"> 2014;16(2):209</w:t>
      </w:r>
    </w:p>
  </w:endnote>
  <w:endnote w:id="6">
    <w:p w14:paraId="44AD1967" w14:textId="73D76505" w:rsidR="00423281" w:rsidRDefault="00423281" w:rsidP="00423281">
      <w:pPr>
        <w:pStyle w:val="Testonotadichiusura"/>
        <w:rPr>
          <w:rFonts w:ascii="Times New Roman" w:hAnsi="Times New Roman" w:cs="Times New Roman"/>
          <w:sz w:val="18"/>
          <w:szCs w:val="18"/>
          <w:lang w:val="en-GB"/>
        </w:rPr>
      </w:pPr>
      <w:r>
        <w:rPr>
          <w:rFonts w:ascii="Times New Roman" w:hAnsi="Times New Roman" w:cs="Times New Roman"/>
          <w:sz w:val="18"/>
          <w:szCs w:val="18"/>
          <w:vertAlign w:val="superscript"/>
          <w:lang w:val="en-GB"/>
        </w:rPr>
        <w:endnoteRef/>
      </w:r>
      <w:r w:rsidRPr="00474834">
        <w:rPr>
          <w:rFonts w:ascii="Times New Roman" w:hAnsi="Times New Roman" w:cs="Times New Roman"/>
          <w:sz w:val="18"/>
          <w:szCs w:val="18"/>
          <w:lang w:val="it-IT"/>
        </w:rPr>
        <w:t xml:space="preserve"> Nader-Marta G, et al. </w:t>
      </w:r>
      <w:hyperlink r:id="rId4" w:history="1">
        <w:r>
          <w:rPr>
            <w:rStyle w:val="Collegamentoipertestuale"/>
            <w:iCs/>
            <w:sz w:val="18"/>
            <w:szCs w:val="18"/>
            <w:lang w:val="en-GB"/>
          </w:rPr>
          <w:t>ESMO Open</w:t>
        </w:r>
      </w:hyperlink>
      <w:r>
        <w:rPr>
          <w:rFonts w:ascii="Times New Roman" w:hAnsi="Times New Roman" w:cs="Times New Roman"/>
          <w:sz w:val="18"/>
          <w:szCs w:val="18"/>
          <w:lang w:val="en-GB"/>
        </w:rPr>
        <w:t>. 2022; 7:1</w:t>
      </w:r>
    </w:p>
    <w:p w14:paraId="294B5825" w14:textId="4A814980" w:rsidR="00DA7D70" w:rsidRDefault="00DA7D70" w:rsidP="00423281">
      <w:pPr>
        <w:pStyle w:val="Testonotadichiusura"/>
        <w:rPr>
          <w:rFonts w:ascii="Times New Roman" w:hAnsi="Times New Roman" w:cs="Times New Roman"/>
          <w:sz w:val="18"/>
          <w:szCs w:val="18"/>
          <w:lang w:val="en-GB"/>
        </w:rPr>
      </w:pPr>
    </w:p>
    <w:p w14:paraId="3739987A" w14:textId="03B7DCE4" w:rsidR="00DA7D70" w:rsidRDefault="00DA7D70" w:rsidP="00DA7D70">
      <w:pPr>
        <w:pStyle w:val="Testonotadichiusura"/>
        <w:rPr>
          <w:rFonts w:ascii="Times New Roman" w:hAnsi="Times New Roman" w:cs="Times New Roman"/>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4B496" w14:textId="77777777" w:rsidR="00AC539E" w:rsidRDefault="00AC539E">
    <w:pPr>
      <w:pStyle w:val="Pidipagina"/>
    </w:pPr>
    <w:r w:rsidRPr="00D46814">
      <w:rPr>
        <w:noProof/>
        <w:lang w:val="it-IT" w:eastAsia="it-IT"/>
      </w:rPr>
      <mc:AlternateContent>
        <mc:Choice Requires="wps">
          <w:drawing>
            <wp:anchor distT="0" distB="0" distL="114300" distR="114300" simplePos="0" relativeHeight="251662336" behindDoc="0" locked="0" layoutInCell="1" allowOverlap="1" wp14:anchorId="3CE68274" wp14:editId="72276006">
              <wp:simplePos x="0" y="0"/>
              <wp:positionH relativeFrom="column">
                <wp:posOffset>-685800</wp:posOffset>
              </wp:positionH>
              <wp:positionV relativeFrom="paragraph">
                <wp:posOffset>175260</wp:posOffset>
              </wp:positionV>
              <wp:extent cx="5029200" cy="228600"/>
              <wp:effectExtent l="0" t="0" r="0" b="0"/>
              <wp:wrapNone/>
              <wp:docPr id="21" name="Rectangle 20">
                <a:extLst xmlns:a="http://schemas.openxmlformats.org/drawingml/2006/main">
                  <a:ext uri="{FF2B5EF4-FFF2-40B4-BE49-F238E27FC236}">
                    <a16:creationId xmlns:a16="http://schemas.microsoft.com/office/drawing/2014/main" id="{9F455802-C6CB-4528-A810-863C9B97482D}"/>
                  </a:ext>
                </a:extLst>
              </wp:docPr>
              <wp:cNvGraphicFramePr/>
              <a:graphic xmlns:a="http://schemas.openxmlformats.org/drawingml/2006/main">
                <a:graphicData uri="http://schemas.microsoft.com/office/word/2010/wordprocessingShape">
                  <wps:wsp>
                    <wps:cNvSpPr/>
                    <wps:spPr>
                      <a:xfrm>
                        <a:off x="0" y="0"/>
                        <a:ext cx="5029200" cy="228600"/>
                      </a:xfrm>
                      <a:prstGeom prst="rect">
                        <a:avLst/>
                      </a:prstGeom>
                      <a:solidFill>
                        <a:schemeClr val="accent6">
                          <a:alpha val="40000"/>
                        </a:schemeClr>
                      </a:solidFill>
                      <a:ln>
                        <a:noFill/>
                      </a:ln>
                    </wps:spPr>
                    <wps:style>
                      <a:lnRef idx="0">
                        <a:scrgbClr r="0" g="0" b="0"/>
                      </a:lnRef>
                      <a:fillRef idx="0">
                        <a:scrgbClr r="0" g="0" b="0"/>
                      </a:fillRef>
                      <a:effectRef idx="0">
                        <a:scrgbClr r="0" g="0" b="0"/>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00E126F0" id="Rectangle 20" o:spid="_x0000_s1026" style="position:absolute;margin-left:-54pt;margin-top:13.8pt;width:39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" fillcolor="#b6b8bb [3209]" stroked="f">
              <v:fill opacity="26214f"/>
            </v:rect>
          </w:pict>
        </mc:Fallback>
      </mc:AlternateContent>
    </w:r>
    <w:r w:rsidRPr="00D46814">
      <w:rPr>
        <w:noProof/>
        <w:lang w:val="it-IT" w:eastAsia="it-IT"/>
      </w:rPr>
      <mc:AlternateContent>
        <mc:Choice Requires="wps">
          <w:drawing>
            <wp:anchor distT="0" distB="0" distL="114300" distR="114300" simplePos="0" relativeHeight="251663360" behindDoc="0" locked="0" layoutInCell="1" allowOverlap="1" wp14:anchorId="6B9BB5BF" wp14:editId="4F984C0F">
              <wp:simplePos x="0" y="0"/>
              <wp:positionH relativeFrom="column">
                <wp:posOffset>-685800</wp:posOffset>
              </wp:positionH>
              <wp:positionV relativeFrom="paragraph">
                <wp:posOffset>84455</wp:posOffset>
              </wp:positionV>
              <wp:extent cx="7772400" cy="90805"/>
              <wp:effectExtent l="0" t="0" r="0" b="10795"/>
              <wp:wrapNone/>
              <wp:docPr id="5" name="Rectangle 4">
                <a:extLst xmlns:a="http://schemas.openxmlformats.org/drawingml/2006/main">
                  <a:ext uri="{FF2B5EF4-FFF2-40B4-BE49-F238E27FC236}">
                    <a16:creationId xmlns:a16="http://schemas.microsoft.com/office/drawing/2014/main" id="{B52D8C08-746B-4FF2-918C-6890489BC1A6}"/>
                  </a:ext>
                </a:extLst>
              </wp:docPr>
              <wp:cNvGraphicFramePr/>
              <a:graphic xmlns:a="http://schemas.openxmlformats.org/drawingml/2006/main">
                <a:graphicData uri="http://schemas.microsoft.com/office/word/2010/wordprocessingShape">
                  <wps:wsp>
                    <wps:cNvSpPr/>
                    <wps:spPr>
                      <a:xfrm>
                        <a:off x="0" y="0"/>
                        <a:ext cx="7772400" cy="90805"/>
                      </a:xfrm>
                      <a:prstGeom prst="rect">
                        <a:avLst/>
                      </a:prstGeom>
                      <a:solidFill>
                        <a:schemeClr val="accent4"/>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anchor>
          </w:drawing>
        </mc:Choice>
        <mc:Fallback>
          <w:pict>
            <v:rect w14:anchorId="4DE90053" id="Rectangle 4" o:spid="_x0000_s1026" style="position:absolute;margin-left:-54pt;margin-top:6.65pt;width:612pt;height:7.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" fillcolor="#c4d600 [3207]"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AC4BD" w14:textId="77777777" w:rsidR="00892B24" w:rsidRDefault="00892B24" w:rsidP="00D46814">
      <w:r>
        <w:separator/>
      </w:r>
    </w:p>
  </w:footnote>
  <w:footnote w:type="continuationSeparator" w:id="0">
    <w:p w14:paraId="49902EF1" w14:textId="77777777" w:rsidR="00892B24" w:rsidRDefault="00892B24" w:rsidP="00D46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7400" w14:textId="77777777" w:rsidR="00AC539E" w:rsidRDefault="00AC539E" w:rsidP="00D46814">
    <w:pPr>
      <w:pStyle w:val="Intestazione"/>
    </w:pPr>
    <w:r w:rsidRPr="00D46814">
      <w:rPr>
        <w:noProof/>
        <w:lang w:val="it-IT" w:eastAsia="it-IT"/>
      </w:rPr>
      <mc:AlternateContent>
        <mc:Choice Requires="wps">
          <w:drawing>
            <wp:anchor distT="0" distB="0" distL="114300" distR="114300" simplePos="0" relativeHeight="251659264" behindDoc="0" locked="0" layoutInCell="1" allowOverlap="1" wp14:anchorId="527A24EE" wp14:editId="32E79A40">
              <wp:simplePos x="0" y="0"/>
              <wp:positionH relativeFrom="column">
                <wp:posOffset>3254375</wp:posOffset>
              </wp:positionH>
              <wp:positionV relativeFrom="paragraph">
                <wp:posOffset>-457200</wp:posOffset>
              </wp:positionV>
              <wp:extent cx="3877945" cy="114300"/>
              <wp:effectExtent l="0" t="0" r="8255" b="12700"/>
              <wp:wrapNone/>
              <wp:docPr id="32" name="Rectangle 31">
                <a:extLst xmlns:a="http://schemas.openxmlformats.org/drawingml/2006/main">
                  <a:ext uri="{FF2B5EF4-FFF2-40B4-BE49-F238E27FC236}">
                    <a16:creationId xmlns:a16="http://schemas.microsoft.com/office/drawing/2014/main" id="{D3685537-4301-4F2C-8337-9D115D3DA386}"/>
                  </a:ext>
                </a:extLst>
              </wp:docPr>
              <wp:cNvGraphicFramePr/>
              <a:graphic xmlns:a="http://schemas.openxmlformats.org/drawingml/2006/main">
                <a:graphicData uri="http://schemas.microsoft.com/office/word/2010/wordprocessingShape">
                  <wps:wsp>
                    <wps:cNvSpPr/>
                    <wps:spPr>
                      <a:xfrm>
                        <a:off x="0" y="0"/>
                        <a:ext cx="3877945" cy="114300"/>
                      </a:xfrm>
                      <a:prstGeom prst="rect">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02B9EE77" id="Rectangle 31" o:spid="_x0000_s1026" style="position:absolute;margin-left:256.25pt;margin-top:-36pt;width:305.3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" fillcolor="#003865 [3205]" stroked="f"/>
          </w:pict>
        </mc:Fallback>
      </mc:AlternateContent>
    </w:r>
    <w:r w:rsidRPr="00D46814">
      <w:rPr>
        <w:noProof/>
        <w:lang w:val="it-IT" w:eastAsia="it-IT"/>
      </w:rPr>
      <w:drawing>
        <wp:anchor distT="0" distB="0" distL="114300" distR="114300" simplePos="0" relativeHeight="251660288" behindDoc="1" locked="0" layoutInCell="1" allowOverlap="1" wp14:anchorId="7A155047" wp14:editId="1EB5BB7E">
          <wp:simplePos x="0" y="0"/>
          <wp:positionH relativeFrom="column">
            <wp:posOffset>2971800</wp:posOffset>
          </wp:positionH>
          <wp:positionV relativeFrom="paragraph">
            <wp:posOffset>-246380</wp:posOffset>
          </wp:positionV>
          <wp:extent cx="4114800" cy="817897"/>
          <wp:effectExtent l="0" t="0" r="0" b="0"/>
          <wp:wrapNone/>
          <wp:docPr id="15" name="Picture 15" descr="DSI-AZ-hor-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DSI-AZ-hor-COLOR.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114800" cy="81789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7F62"/>
    <w:multiLevelType w:val="hybridMultilevel"/>
    <w:tmpl w:val="5FCEC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411180"/>
    <w:multiLevelType w:val="hybridMultilevel"/>
    <w:tmpl w:val="2250CF82"/>
    <w:lvl w:ilvl="0" w:tplc="79D8AF4E">
      <w:start w:val="1"/>
      <w:numFmt w:val="bullet"/>
      <w:lvlText w:val="–"/>
      <w:lvlJc w:val="left"/>
      <w:pPr>
        <w:ind w:left="720" w:hanging="360"/>
      </w:pPr>
      <w:rPr>
        <w:rFonts w:ascii="Calibri" w:hAnsi="Calibri" w:hint="default"/>
        <w:b/>
        <w:color w:val="000000" w:themeColor="text1"/>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3318609E"/>
    <w:multiLevelType w:val="hybridMultilevel"/>
    <w:tmpl w:val="ACC80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EB8592"/>
    <w:multiLevelType w:val="hybridMultilevel"/>
    <w:tmpl w:val="FFFFFFFF"/>
    <w:lvl w:ilvl="0" w:tplc="A3D6D6DA">
      <w:start w:val="1"/>
      <w:numFmt w:val="bullet"/>
      <w:lvlText w:val="·"/>
      <w:lvlJc w:val="left"/>
      <w:pPr>
        <w:ind w:left="360" w:hanging="360"/>
      </w:pPr>
      <w:rPr>
        <w:rFonts w:ascii="Symbol" w:hAnsi="Symbol" w:hint="default"/>
      </w:rPr>
    </w:lvl>
    <w:lvl w:ilvl="1" w:tplc="EFF2BD1E">
      <w:start w:val="1"/>
      <w:numFmt w:val="bullet"/>
      <w:lvlText w:val="o"/>
      <w:lvlJc w:val="left"/>
      <w:pPr>
        <w:ind w:left="1080" w:hanging="360"/>
      </w:pPr>
      <w:rPr>
        <w:rFonts w:ascii="Courier New" w:hAnsi="Courier New" w:hint="default"/>
      </w:rPr>
    </w:lvl>
    <w:lvl w:ilvl="2" w:tplc="BF3046D2">
      <w:start w:val="1"/>
      <w:numFmt w:val="bullet"/>
      <w:lvlText w:val=""/>
      <w:lvlJc w:val="left"/>
      <w:pPr>
        <w:ind w:left="1800" w:hanging="360"/>
      </w:pPr>
      <w:rPr>
        <w:rFonts w:ascii="Wingdings" w:hAnsi="Wingdings" w:hint="default"/>
      </w:rPr>
    </w:lvl>
    <w:lvl w:ilvl="3" w:tplc="3DCABF90">
      <w:start w:val="1"/>
      <w:numFmt w:val="bullet"/>
      <w:lvlText w:val=""/>
      <w:lvlJc w:val="left"/>
      <w:pPr>
        <w:ind w:left="2520" w:hanging="360"/>
      </w:pPr>
      <w:rPr>
        <w:rFonts w:ascii="Symbol" w:hAnsi="Symbol" w:hint="default"/>
      </w:rPr>
    </w:lvl>
    <w:lvl w:ilvl="4" w:tplc="839EB3F2">
      <w:start w:val="1"/>
      <w:numFmt w:val="bullet"/>
      <w:lvlText w:val="o"/>
      <w:lvlJc w:val="left"/>
      <w:pPr>
        <w:ind w:left="3240" w:hanging="360"/>
      </w:pPr>
      <w:rPr>
        <w:rFonts w:ascii="Courier New" w:hAnsi="Courier New" w:hint="default"/>
      </w:rPr>
    </w:lvl>
    <w:lvl w:ilvl="5" w:tplc="DC2ADC1E">
      <w:start w:val="1"/>
      <w:numFmt w:val="bullet"/>
      <w:lvlText w:val=""/>
      <w:lvlJc w:val="left"/>
      <w:pPr>
        <w:ind w:left="3960" w:hanging="360"/>
      </w:pPr>
      <w:rPr>
        <w:rFonts w:ascii="Wingdings" w:hAnsi="Wingdings" w:hint="default"/>
      </w:rPr>
    </w:lvl>
    <w:lvl w:ilvl="6" w:tplc="FBD22AD0">
      <w:start w:val="1"/>
      <w:numFmt w:val="bullet"/>
      <w:lvlText w:val=""/>
      <w:lvlJc w:val="left"/>
      <w:pPr>
        <w:ind w:left="4680" w:hanging="360"/>
      </w:pPr>
      <w:rPr>
        <w:rFonts w:ascii="Symbol" w:hAnsi="Symbol" w:hint="default"/>
      </w:rPr>
    </w:lvl>
    <w:lvl w:ilvl="7" w:tplc="B128DD60">
      <w:start w:val="1"/>
      <w:numFmt w:val="bullet"/>
      <w:lvlText w:val="o"/>
      <w:lvlJc w:val="left"/>
      <w:pPr>
        <w:ind w:left="5400" w:hanging="360"/>
      </w:pPr>
      <w:rPr>
        <w:rFonts w:ascii="Courier New" w:hAnsi="Courier New" w:hint="default"/>
      </w:rPr>
    </w:lvl>
    <w:lvl w:ilvl="8" w:tplc="689EEC66">
      <w:start w:val="1"/>
      <w:numFmt w:val="bullet"/>
      <w:lvlText w:val=""/>
      <w:lvlJc w:val="left"/>
      <w:pPr>
        <w:ind w:left="6120" w:hanging="360"/>
      </w:pPr>
      <w:rPr>
        <w:rFonts w:ascii="Wingdings" w:hAnsi="Wingdings" w:hint="default"/>
      </w:rPr>
    </w:lvl>
  </w:abstractNum>
  <w:abstractNum w:abstractNumId="4" w15:restartNumberingAfterBreak="0">
    <w:nsid w:val="74ED6A4E"/>
    <w:multiLevelType w:val="hybridMultilevel"/>
    <w:tmpl w:val="10143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6859997">
    <w:abstractNumId w:val="4"/>
  </w:num>
  <w:num w:numId="2" w16cid:durableId="1737967410">
    <w:abstractNumId w:val="0"/>
  </w:num>
  <w:num w:numId="3" w16cid:durableId="476194026">
    <w:abstractNumId w:val="0"/>
  </w:num>
  <w:num w:numId="4" w16cid:durableId="1420131747">
    <w:abstractNumId w:val="2"/>
  </w:num>
  <w:num w:numId="5" w16cid:durableId="1629779853">
    <w:abstractNumId w:val="3"/>
  </w:num>
  <w:num w:numId="6" w16cid:durableId="21574859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defaultTabStop w:val="720"/>
  <w:hyphenationZone w:val="283"/>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814"/>
    <w:rsid w:val="0000170A"/>
    <w:rsid w:val="0000798A"/>
    <w:rsid w:val="00014185"/>
    <w:rsid w:val="000233E1"/>
    <w:rsid w:val="00023DF6"/>
    <w:rsid w:val="000245B9"/>
    <w:rsid w:val="00024A4D"/>
    <w:rsid w:val="00026A46"/>
    <w:rsid w:val="00042141"/>
    <w:rsid w:val="0004274F"/>
    <w:rsid w:val="00042759"/>
    <w:rsid w:val="00053405"/>
    <w:rsid w:val="00054E1B"/>
    <w:rsid w:val="000569B5"/>
    <w:rsid w:val="00056B45"/>
    <w:rsid w:val="00060ADC"/>
    <w:rsid w:val="000626DE"/>
    <w:rsid w:val="0006353F"/>
    <w:rsid w:val="0007476A"/>
    <w:rsid w:val="00074A3D"/>
    <w:rsid w:val="00076BB9"/>
    <w:rsid w:val="000A0A30"/>
    <w:rsid w:val="000A1A4B"/>
    <w:rsid w:val="000A46D0"/>
    <w:rsid w:val="000A573E"/>
    <w:rsid w:val="000A62F5"/>
    <w:rsid w:val="000B0BFF"/>
    <w:rsid w:val="000B5CC8"/>
    <w:rsid w:val="000C0C79"/>
    <w:rsid w:val="000C27AB"/>
    <w:rsid w:val="000D1FA2"/>
    <w:rsid w:val="000D475F"/>
    <w:rsid w:val="000D738B"/>
    <w:rsid w:val="000E4141"/>
    <w:rsid w:val="000E4502"/>
    <w:rsid w:val="000F3F4F"/>
    <w:rsid w:val="000F430E"/>
    <w:rsid w:val="000F573C"/>
    <w:rsid w:val="000F60F8"/>
    <w:rsid w:val="000F6589"/>
    <w:rsid w:val="000F69BA"/>
    <w:rsid w:val="000F7F67"/>
    <w:rsid w:val="0010049A"/>
    <w:rsid w:val="00101637"/>
    <w:rsid w:val="00101FAB"/>
    <w:rsid w:val="00103B85"/>
    <w:rsid w:val="00110ADC"/>
    <w:rsid w:val="00112827"/>
    <w:rsid w:val="00114A80"/>
    <w:rsid w:val="00120DA8"/>
    <w:rsid w:val="0012628A"/>
    <w:rsid w:val="00131058"/>
    <w:rsid w:val="0013232B"/>
    <w:rsid w:val="00134E59"/>
    <w:rsid w:val="00135057"/>
    <w:rsid w:val="00140CDB"/>
    <w:rsid w:val="001421FB"/>
    <w:rsid w:val="00143F44"/>
    <w:rsid w:val="001443B9"/>
    <w:rsid w:val="00145BDF"/>
    <w:rsid w:val="00150C9E"/>
    <w:rsid w:val="00153C43"/>
    <w:rsid w:val="00165FC2"/>
    <w:rsid w:val="00167B05"/>
    <w:rsid w:val="001724F5"/>
    <w:rsid w:val="00173B0D"/>
    <w:rsid w:val="001810F4"/>
    <w:rsid w:val="001902AE"/>
    <w:rsid w:val="001918C3"/>
    <w:rsid w:val="001948A9"/>
    <w:rsid w:val="001A19BB"/>
    <w:rsid w:val="001A1E56"/>
    <w:rsid w:val="001B04CE"/>
    <w:rsid w:val="001B3314"/>
    <w:rsid w:val="001B4946"/>
    <w:rsid w:val="001B646E"/>
    <w:rsid w:val="001C567C"/>
    <w:rsid w:val="001C6D27"/>
    <w:rsid w:val="001C6DD3"/>
    <w:rsid w:val="001D1E3C"/>
    <w:rsid w:val="001D2426"/>
    <w:rsid w:val="001E1D61"/>
    <w:rsid w:val="001F1F70"/>
    <w:rsid w:val="001F5024"/>
    <w:rsid w:val="0020001C"/>
    <w:rsid w:val="002129B4"/>
    <w:rsid w:val="002139D8"/>
    <w:rsid w:val="00213FAD"/>
    <w:rsid w:val="00222961"/>
    <w:rsid w:val="002233AE"/>
    <w:rsid w:val="00226292"/>
    <w:rsid w:val="00226A4B"/>
    <w:rsid w:val="002351C1"/>
    <w:rsid w:val="00245320"/>
    <w:rsid w:val="00252807"/>
    <w:rsid w:val="0025592C"/>
    <w:rsid w:val="0025621B"/>
    <w:rsid w:val="002572D0"/>
    <w:rsid w:val="00262A9C"/>
    <w:rsid w:val="002719DC"/>
    <w:rsid w:val="00282B5B"/>
    <w:rsid w:val="00290F45"/>
    <w:rsid w:val="00291510"/>
    <w:rsid w:val="00294424"/>
    <w:rsid w:val="002B00B8"/>
    <w:rsid w:val="002B18D2"/>
    <w:rsid w:val="002B47D0"/>
    <w:rsid w:val="002B7A1F"/>
    <w:rsid w:val="002C3296"/>
    <w:rsid w:val="002C5B76"/>
    <w:rsid w:val="002C5BD1"/>
    <w:rsid w:val="002D2101"/>
    <w:rsid w:val="002E1A97"/>
    <w:rsid w:val="002E219B"/>
    <w:rsid w:val="002E6FF2"/>
    <w:rsid w:val="002E740C"/>
    <w:rsid w:val="002E7B12"/>
    <w:rsid w:val="002F3A1B"/>
    <w:rsid w:val="00302470"/>
    <w:rsid w:val="00305B81"/>
    <w:rsid w:val="0030680F"/>
    <w:rsid w:val="00307746"/>
    <w:rsid w:val="00311747"/>
    <w:rsid w:val="00317354"/>
    <w:rsid w:val="003247E5"/>
    <w:rsid w:val="0032613D"/>
    <w:rsid w:val="00326B27"/>
    <w:rsid w:val="0033131B"/>
    <w:rsid w:val="00332E02"/>
    <w:rsid w:val="00332F55"/>
    <w:rsid w:val="00334323"/>
    <w:rsid w:val="00335866"/>
    <w:rsid w:val="003406D6"/>
    <w:rsid w:val="0034105F"/>
    <w:rsid w:val="0034127C"/>
    <w:rsid w:val="00354523"/>
    <w:rsid w:val="003577AB"/>
    <w:rsid w:val="00360083"/>
    <w:rsid w:val="00365E52"/>
    <w:rsid w:val="003678FC"/>
    <w:rsid w:val="00375407"/>
    <w:rsid w:val="0037692D"/>
    <w:rsid w:val="00381825"/>
    <w:rsid w:val="00386243"/>
    <w:rsid w:val="00392DF6"/>
    <w:rsid w:val="00392ECC"/>
    <w:rsid w:val="00394324"/>
    <w:rsid w:val="003958F6"/>
    <w:rsid w:val="003A6298"/>
    <w:rsid w:val="003A79C3"/>
    <w:rsid w:val="003C6FFE"/>
    <w:rsid w:val="003C78EC"/>
    <w:rsid w:val="003D3841"/>
    <w:rsid w:val="003E3042"/>
    <w:rsid w:val="003F0010"/>
    <w:rsid w:val="003F0B63"/>
    <w:rsid w:val="003F1873"/>
    <w:rsid w:val="003F41DE"/>
    <w:rsid w:val="003F7682"/>
    <w:rsid w:val="00401BAE"/>
    <w:rsid w:val="00403D8A"/>
    <w:rsid w:val="00405436"/>
    <w:rsid w:val="00410789"/>
    <w:rsid w:val="0041126C"/>
    <w:rsid w:val="004122D5"/>
    <w:rsid w:val="00412773"/>
    <w:rsid w:val="0041392A"/>
    <w:rsid w:val="00414F0D"/>
    <w:rsid w:val="00415DFE"/>
    <w:rsid w:val="00420AF3"/>
    <w:rsid w:val="004211E4"/>
    <w:rsid w:val="00423281"/>
    <w:rsid w:val="00426695"/>
    <w:rsid w:val="00431572"/>
    <w:rsid w:val="00433A9C"/>
    <w:rsid w:val="00435C33"/>
    <w:rsid w:val="00437CC1"/>
    <w:rsid w:val="00441B09"/>
    <w:rsid w:val="004448D5"/>
    <w:rsid w:val="00453AF5"/>
    <w:rsid w:val="0045626C"/>
    <w:rsid w:val="00456280"/>
    <w:rsid w:val="004575EC"/>
    <w:rsid w:val="00457F79"/>
    <w:rsid w:val="004633F4"/>
    <w:rsid w:val="0047344A"/>
    <w:rsid w:val="004736D7"/>
    <w:rsid w:val="00474834"/>
    <w:rsid w:val="00476E7F"/>
    <w:rsid w:val="004771E7"/>
    <w:rsid w:val="0048266C"/>
    <w:rsid w:val="0048724C"/>
    <w:rsid w:val="0049073F"/>
    <w:rsid w:val="00491729"/>
    <w:rsid w:val="00492514"/>
    <w:rsid w:val="00495735"/>
    <w:rsid w:val="00496E89"/>
    <w:rsid w:val="004A1BC9"/>
    <w:rsid w:val="004A3FD2"/>
    <w:rsid w:val="004A4DB5"/>
    <w:rsid w:val="004A507C"/>
    <w:rsid w:val="004A578C"/>
    <w:rsid w:val="004A60D3"/>
    <w:rsid w:val="004B004D"/>
    <w:rsid w:val="004B5E0D"/>
    <w:rsid w:val="004C5869"/>
    <w:rsid w:val="004C62EF"/>
    <w:rsid w:val="004D6BD8"/>
    <w:rsid w:val="004E0C43"/>
    <w:rsid w:val="004E12BF"/>
    <w:rsid w:val="004E4437"/>
    <w:rsid w:val="004E72E2"/>
    <w:rsid w:val="004F28D7"/>
    <w:rsid w:val="004F549E"/>
    <w:rsid w:val="004F62A6"/>
    <w:rsid w:val="004F7C6B"/>
    <w:rsid w:val="00500F90"/>
    <w:rsid w:val="00501726"/>
    <w:rsid w:val="00502F88"/>
    <w:rsid w:val="00503534"/>
    <w:rsid w:val="0051226B"/>
    <w:rsid w:val="0051427A"/>
    <w:rsid w:val="00516853"/>
    <w:rsid w:val="00520537"/>
    <w:rsid w:val="00520B1A"/>
    <w:rsid w:val="00522412"/>
    <w:rsid w:val="005254A3"/>
    <w:rsid w:val="00531EA9"/>
    <w:rsid w:val="0054530C"/>
    <w:rsid w:val="00546C5D"/>
    <w:rsid w:val="005513A8"/>
    <w:rsid w:val="00551DB8"/>
    <w:rsid w:val="005556D6"/>
    <w:rsid w:val="00555775"/>
    <w:rsid w:val="00555ECB"/>
    <w:rsid w:val="00556718"/>
    <w:rsid w:val="00556BB8"/>
    <w:rsid w:val="00556BFE"/>
    <w:rsid w:val="005601B9"/>
    <w:rsid w:val="005601DC"/>
    <w:rsid w:val="005617E8"/>
    <w:rsid w:val="005641C9"/>
    <w:rsid w:val="005664BB"/>
    <w:rsid w:val="00566C64"/>
    <w:rsid w:val="00572679"/>
    <w:rsid w:val="00574CD0"/>
    <w:rsid w:val="005772F1"/>
    <w:rsid w:val="00585B37"/>
    <w:rsid w:val="00593534"/>
    <w:rsid w:val="005A1473"/>
    <w:rsid w:val="005A2926"/>
    <w:rsid w:val="005A2E83"/>
    <w:rsid w:val="005A4566"/>
    <w:rsid w:val="005A551E"/>
    <w:rsid w:val="005A655A"/>
    <w:rsid w:val="005B01A8"/>
    <w:rsid w:val="005B575D"/>
    <w:rsid w:val="005B5C60"/>
    <w:rsid w:val="005C284A"/>
    <w:rsid w:val="005D3AC4"/>
    <w:rsid w:val="005D72F8"/>
    <w:rsid w:val="005E0737"/>
    <w:rsid w:val="005E0BC2"/>
    <w:rsid w:val="005E1CBB"/>
    <w:rsid w:val="005F047E"/>
    <w:rsid w:val="005F41BC"/>
    <w:rsid w:val="005F4577"/>
    <w:rsid w:val="005F6653"/>
    <w:rsid w:val="006126EC"/>
    <w:rsid w:val="00612AED"/>
    <w:rsid w:val="006137F2"/>
    <w:rsid w:val="006207FE"/>
    <w:rsid w:val="00625822"/>
    <w:rsid w:val="00630D1E"/>
    <w:rsid w:val="00635A1B"/>
    <w:rsid w:val="00642ED6"/>
    <w:rsid w:val="00647C9B"/>
    <w:rsid w:val="006507F3"/>
    <w:rsid w:val="006548AD"/>
    <w:rsid w:val="006554B3"/>
    <w:rsid w:val="0065582A"/>
    <w:rsid w:val="00657A99"/>
    <w:rsid w:val="006631BF"/>
    <w:rsid w:val="006638A2"/>
    <w:rsid w:val="00666380"/>
    <w:rsid w:val="006758F7"/>
    <w:rsid w:val="00677B74"/>
    <w:rsid w:val="006808DB"/>
    <w:rsid w:val="00680E66"/>
    <w:rsid w:val="006826B2"/>
    <w:rsid w:val="00692072"/>
    <w:rsid w:val="00693322"/>
    <w:rsid w:val="006A0CA6"/>
    <w:rsid w:val="006A3F13"/>
    <w:rsid w:val="006A45E6"/>
    <w:rsid w:val="006B0A34"/>
    <w:rsid w:val="006B6A93"/>
    <w:rsid w:val="006B7491"/>
    <w:rsid w:val="006C4202"/>
    <w:rsid w:val="006D004D"/>
    <w:rsid w:val="006D4524"/>
    <w:rsid w:val="006D56D8"/>
    <w:rsid w:val="006D60B1"/>
    <w:rsid w:val="006E571D"/>
    <w:rsid w:val="006F1B96"/>
    <w:rsid w:val="006F62AF"/>
    <w:rsid w:val="007008BF"/>
    <w:rsid w:val="00705390"/>
    <w:rsid w:val="0071077F"/>
    <w:rsid w:val="00710CD3"/>
    <w:rsid w:val="007142A2"/>
    <w:rsid w:val="0071487E"/>
    <w:rsid w:val="00714D17"/>
    <w:rsid w:val="00716606"/>
    <w:rsid w:val="007216D1"/>
    <w:rsid w:val="00723318"/>
    <w:rsid w:val="00724DC8"/>
    <w:rsid w:val="007270B7"/>
    <w:rsid w:val="0073109B"/>
    <w:rsid w:val="00742906"/>
    <w:rsid w:val="00742A7E"/>
    <w:rsid w:val="00750D4C"/>
    <w:rsid w:val="00755241"/>
    <w:rsid w:val="00757D3A"/>
    <w:rsid w:val="007609F4"/>
    <w:rsid w:val="00761606"/>
    <w:rsid w:val="00763DFC"/>
    <w:rsid w:val="00765B4D"/>
    <w:rsid w:val="007672EE"/>
    <w:rsid w:val="00772CE2"/>
    <w:rsid w:val="007735F1"/>
    <w:rsid w:val="0077505C"/>
    <w:rsid w:val="007767D8"/>
    <w:rsid w:val="00776AD0"/>
    <w:rsid w:val="007919A0"/>
    <w:rsid w:val="00791FB9"/>
    <w:rsid w:val="00794F48"/>
    <w:rsid w:val="00796E39"/>
    <w:rsid w:val="007A17AE"/>
    <w:rsid w:val="007A628D"/>
    <w:rsid w:val="007A6308"/>
    <w:rsid w:val="007B4F11"/>
    <w:rsid w:val="007C235E"/>
    <w:rsid w:val="007C2772"/>
    <w:rsid w:val="007C512C"/>
    <w:rsid w:val="007E5DB9"/>
    <w:rsid w:val="007E779D"/>
    <w:rsid w:val="007F0D0A"/>
    <w:rsid w:val="007F5601"/>
    <w:rsid w:val="007F5931"/>
    <w:rsid w:val="00807BB0"/>
    <w:rsid w:val="00814130"/>
    <w:rsid w:val="0082317A"/>
    <w:rsid w:val="00826991"/>
    <w:rsid w:val="00826B02"/>
    <w:rsid w:val="008302CB"/>
    <w:rsid w:val="00835CE0"/>
    <w:rsid w:val="0083741A"/>
    <w:rsid w:val="008376D1"/>
    <w:rsid w:val="008463E3"/>
    <w:rsid w:val="00846B6A"/>
    <w:rsid w:val="00847E1C"/>
    <w:rsid w:val="00851EA3"/>
    <w:rsid w:val="008522FE"/>
    <w:rsid w:val="00853969"/>
    <w:rsid w:val="00860186"/>
    <w:rsid w:val="008636B2"/>
    <w:rsid w:val="00874D32"/>
    <w:rsid w:val="00876FF0"/>
    <w:rsid w:val="00880DF9"/>
    <w:rsid w:val="00885024"/>
    <w:rsid w:val="008861D9"/>
    <w:rsid w:val="00887DFB"/>
    <w:rsid w:val="00887FD9"/>
    <w:rsid w:val="00892B24"/>
    <w:rsid w:val="008942A2"/>
    <w:rsid w:val="00894E02"/>
    <w:rsid w:val="00895E56"/>
    <w:rsid w:val="008965CA"/>
    <w:rsid w:val="008A6633"/>
    <w:rsid w:val="008B0FD5"/>
    <w:rsid w:val="008B19A5"/>
    <w:rsid w:val="008B29E8"/>
    <w:rsid w:val="008B54FE"/>
    <w:rsid w:val="008B7805"/>
    <w:rsid w:val="008D0293"/>
    <w:rsid w:val="008D7F7B"/>
    <w:rsid w:val="008E0141"/>
    <w:rsid w:val="008E243B"/>
    <w:rsid w:val="008E2C7B"/>
    <w:rsid w:val="008E4959"/>
    <w:rsid w:val="008F16DD"/>
    <w:rsid w:val="008F366C"/>
    <w:rsid w:val="008F3BF3"/>
    <w:rsid w:val="009068C6"/>
    <w:rsid w:val="00910818"/>
    <w:rsid w:val="00911D51"/>
    <w:rsid w:val="0091722E"/>
    <w:rsid w:val="00924325"/>
    <w:rsid w:val="00925762"/>
    <w:rsid w:val="009357A5"/>
    <w:rsid w:val="00936DB2"/>
    <w:rsid w:val="0093776E"/>
    <w:rsid w:val="00937C0F"/>
    <w:rsid w:val="00943C19"/>
    <w:rsid w:val="00954FA8"/>
    <w:rsid w:val="00955446"/>
    <w:rsid w:val="00955D05"/>
    <w:rsid w:val="009606CE"/>
    <w:rsid w:val="009611DF"/>
    <w:rsid w:val="00962807"/>
    <w:rsid w:val="00963D59"/>
    <w:rsid w:val="00970616"/>
    <w:rsid w:val="00971846"/>
    <w:rsid w:val="00973339"/>
    <w:rsid w:val="009736E0"/>
    <w:rsid w:val="00975D1C"/>
    <w:rsid w:val="00981F96"/>
    <w:rsid w:val="00981FF9"/>
    <w:rsid w:val="009902CE"/>
    <w:rsid w:val="009962C5"/>
    <w:rsid w:val="009A1A7B"/>
    <w:rsid w:val="009B1531"/>
    <w:rsid w:val="009C51C7"/>
    <w:rsid w:val="009D0452"/>
    <w:rsid w:val="009D4758"/>
    <w:rsid w:val="009E291C"/>
    <w:rsid w:val="009E2FCD"/>
    <w:rsid w:val="009F26A8"/>
    <w:rsid w:val="00A03D13"/>
    <w:rsid w:val="00A04A45"/>
    <w:rsid w:val="00A101E2"/>
    <w:rsid w:val="00A147D8"/>
    <w:rsid w:val="00A212FA"/>
    <w:rsid w:val="00A22A3C"/>
    <w:rsid w:val="00A23AA2"/>
    <w:rsid w:val="00A247DC"/>
    <w:rsid w:val="00A2554A"/>
    <w:rsid w:val="00A30CBD"/>
    <w:rsid w:val="00A33C51"/>
    <w:rsid w:val="00A407B1"/>
    <w:rsid w:val="00A43C1E"/>
    <w:rsid w:val="00A577AA"/>
    <w:rsid w:val="00A626AB"/>
    <w:rsid w:val="00A65729"/>
    <w:rsid w:val="00A661AE"/>
    <w:rsid w:val="00A67D97"/>
    <w:rsid w:val="00A701C1"/>
    <w:rsid w:val="00A702EF"/>
    <w:rsid w:val="00A73A7A"/>
    <w:rsid w:val="00A77817"/>
    <w:rsid w:val="00A86537"/>
    <w:rsid w:val="00A92889"/>
    <w:rsid w:val="00A95D29"/>
    <w:rsid w:val="00AA034E"/>
    <w:rsid w:val="00AA35C6"/>
    <w:rsid w:val="00AA6FD5"/>
    <w:rsid w:val="00AB5B3C"/>
    <w:rsid w:val="00AB6573"/>
    <w:rsid w:val="00AC2977"/>
    <w:rsid w:val="00AC539E"/>
    <w:rsid w:val="00AC6FF3"/>
    <w:rsid w:val="00AC7FA8"/>
    <w:rsid w:val="00AD2160"/>
    <w:rsid w:val="00AD4CF1"/>
    <w:rsid w:val="00AD5138"/>
    <w:rsid w:val="00AE0008"/>
    <w:rsid w:val="00AE3CC2"/>
    <w:rsid w:val="00AE6F83"/>
    <w:rsid w:val="00AE72DB"/>
    <w:rsid w:val="00AF085C"/>
    <w:rsid w:val="00AF2772"/>
    <w:rsid w:val="00B00171"/>
    <w:rsid w:val="00B0490D"/>
    <w:rsid w:val="00B05526"/>
    <w:rsid w:val="00B30DAE"/>
    <w:rsid w:val="00B3475B"/>
    <w:rsid w:val="00B4340A"/>
    <w:rsid w:val="00B437ED"/>
    <w:rsid w:val="00B43CC3"/>
    <w:rsid w:val="00B45ACA"/>
    <w:rsid w:val="00B50E6E"/>
    <w:rsid w:val="00B51097"/>
    <w:rsid w:val="00B5344C"/>
    <w:rsid w:val="00B62339"/>
    <w:rsid w:val="00B6248E"/>
    <w:rsid w:val="00B6293D"/>
    <w:rsid w:val="00B62A5D"/>
    <w:rsid w:val="00B743A0"/>
    <w:rsid w:val="00B76534"/>
    <w:rsid w:val="00B77110"/>
    <w:rsid w:val="00B8544A"/>
    <w:rsid w:val="00B85798"/>
    <w:rsid w:val="00B86869"/>
    <w:rsid w:val="00B875A2"/>
    <w:rsid w:val="00B91A95"/>
    <w:rsid w:val="00B92F13"/>
    <w:rsid w:val="00B93061"/>
    <w:rsid w:val="00B93C71"/>
    <w:rsid w:val="00BA2ED2"/>
    <w:rsid w:val="00BA32AF"/>
    <w:rsid w:val="00BB1468"/>
    <w:rsid w:val="00BB6377"/>
    <w:rsid w:val="00BC0704"/>
    <w:rsid w:val="00BC17A9"/>
    <w:rsid w:val="00BC3CBA"/>
    <w:rsid w:val="00BD0DE3"/>
    <w:rsid w:val="00BD0EBA"/>
    <w:rsid w:val="00BD70EB"/>
    <w:rsid w:val="00BE2C95"/>
    <w:rsid w:val="00BE6522"/>
    <w:rsid w:val="00BE7A4A"/>
    <w:rsid w:val="00BF165C"/>
    <w:rsid w:val="00BF1BA7"/>
    <w:rsid w:val="00BF1F07"/>
    <w:rsid w:val="00BF22B2"/>
    <w:rsid w:val="00BF3BD9"/>
    <w:rsid w:val="00BF6AB9"/>
    <w:rsid w:val="00C02454"/>
    <w:rsid w:val="00C04782"/>
    <w:rsid w:val="00C103FD"/>
    <w:rsid w:val="00C10A47"/>
    <w:rsid w:val="00C11740"/>
    <w:rsid w:val="00C12044"/>
    <w:rsid w:val="00C161E7"/>
    <w:rsid w:val="00C17470"/>
    <w:rsid w:val="00C20CCD"/>
    <w:rsid w:val="00C3091D"/>
    <w:rsid w:val="00C35ED4"/>
    <w:rsid w:val="00C37864"/>
    <w:rsid w:val="00C437A5"/>
    <w:rsid w:val="00C47A31"/>
    <w:rsid w:val="00C50AF2"/>
    <w:rsid w:val="00C56B66"/>
    <w:rsid w:val="00C634D1"/>
    <w:rsid w:val="00C643D1"/>
    <w:rsid w:val="00C6519A"/>
    <w:rsid w:val="00C71C16"/>
    <w:rsid w:val="00C755E0"/>
    <w:rsid w:val="00C76A9D"/>
    <w:rsid w:val="00C7721F"/>
    <w:rsid w:val="00C81871"/>
    <w:rsid w:val="00C846F0"/>
    <w:rsid w:val="00C85149"/>
    <w:rsid w:val="00C86BBA"/>
    <w:rsid w:val="00C87F7D"/>
    <w:rsid w:val="00C910ED"/>
    <w:rsid w:val="00C919F4"/>
    <w:rsid w:val="00C933D8"/>
    <w:rsid w:val="00C93BA1"/>
    <w:rsid w:val="00CA0FA2"/>
    <w:rsid w:val="00CA4B18"/>
    <w:rsid w:val="00CB230D"/>
    <w:rsid w:val="00CC4DED"/>
    <w:rsid w:val="00CC66D9"/>
    <w:rsid w:val="00CC6FA4"/>
    <w:rsid w:val="00CC7147"/>
    <w:rsid w:val="00CD192F"/>
    <w:rsid w:val="00CD5136"/>
    <w:rsid w:val="00CE15B1"/>
    <w:rsid w:val="00CE1AE0"/>
    <w:rsid w:val="00CE5E8E"/>
    <w:rsid w:val="00CF3F1C"/>
    <w:rsid w:val="00D00AAE"/>
    <w:rsid w:val="00D00DD0"/>
    <w:rsid w:val="00D03863"/>
    <w:rsid w:val="00D0502F"/>
    <w:rsid w:val="00D056F7"/>
    <w:rsid w:val="00D06D32"/>
    <w:rsid w:val="00D0752E"/>
    <w:rsid w:val="00D10D2B"/>
    <w:rsid w:val="00D12534"/>
    <w:rsid w:val="00D12763"/>
    <w:rsid w:val="00D14D1A"/>
    <w:rsid w:val="00D2233B"/>
    <w:rsid w:val="00D2448D"/>
    <w:rsid w:val="00D2733D"/>
    <w:rsid w:val="00D273AD"/>
    <w:rsid w:val="00D318CE"/>
    <w:rsid w:val="00D32583"/>
    <w:rsid w:val="00D34CAC"/>
    <w:rsid w:val="00D3611C"/>
    <w:rsid w:val="00D408B7"/>
    <w:rsid w:val="00D42324"/>
    <w:rsid w:val="00D44110"/>
    <w:rsid w:val="00D46814"/>
    <w:rsid w:val="00D46B07"/>
    <w:rsid w:val="00D53DAC"/>
    <w:rsid w:val="00D544EF"/>
    <w:rsid w:val="00D547E2"/>
    <w:rsid w:val="00D54C3D"/>
    <w:rsid w:val="00D554AB"/>
    <w:rsid w:val="00D576F9"/>
    <w:rsid w:val="00D57AC0"/>
    <w:rsid w:val="00D57F42"/>
    <w:rsid w:val="00D62116"/>
    <w:rsid w:val="00D6392B"/>
    <w:rsid w:val="00D75699"/>
    <w:rsid w:val="00D75B88"/>
    <w:rsid w:val="00D8127E"/>
    <w:rsid w:val="00D845F2"/>
    <w:rsid w:val="00D8647B"/>
    <w:rsid w:val="00D94042"/>
    <w:rsid w:val="00D96122"/>
    <w:rsid w:val="00D96B27"/>
    <w:rsid w:val="00DA3359"/>
    <w:rsid w:val="00DA4119"/>
    <w:rsid w:val="00DA52ED"/>
    <w:rsid w:val="00DA7D70"/>
    <w:rsid w:val="00DD32E6"/>
    <w:rsid w:val="00DE1046"/>
    <w:rsid w:val="00DE2FE9"/>
    <w:rsid w:val="00DF290D"/>
    <w:rsid w:val="00DF5055"/>
    <w:rsid w:val="00DF7AC9"/>
    <w:rsid w:val="00DF7D7D"/>
    <w:rsid w:val="00E000E2"/>
    <w:rsid w:val="00E033D3"/>
    <w:rsid w:val="00E04934"/>
    <w:rsid w:val="00E05C65"/>
    <w:rsid w:val="00E0754C"/>
    <w:rsid w:val="00E21682"/>
    <w:rsid w:val="00E27E4A"/>
    <w:rsid w:val="00E30420"/>
    <w:rsid w:val="00E31742"/>
    <w:rsid w:val="00E3530D"/>
    <w:rsid w:val="00E35381"/>
    <w:rsid w:val="00E370DE"/>
    <w:rsid w:val="00E43CCE"/>
    <w:rsid w:val="00E47812"/>
    <w:rsid w:val="00E53A12"/>
    <w:rsid w:val="00E5698A"/>
    <w:rsid w:val="00E57227"/>
    <w:rsid w:val="00E57E19"/>
    <w:rsid w:val="00E750AC"/>
    <w:rsid w:val="00E77E14"/>
    <w:rsid w:val="00E847CB"/>
    <w:rsid w:val="00E8646A"/>
    <w:rsid w:val="00E92A85"/>
    <w:rsid w:val="00E92A9D"/>
    <w:rsid w:val="00EA3560"/>
    <w:rsid w:val="00EA6CF9"/>
    <w:rsid w:val="00EB186F"/>
    <w:rsid w:val="00EB2D5E"/>
    <w:rsid w:val="00EB575F"/>
    <w:rsid w:val="00EB71C9"/>
    <w:rsid w:val="00EC39E7"/>
    <w:rsid w:val="00EC7F80"/>
    <w:rsid w:val="00ED321D"/>
    <w:rsid w:val="00EE4ABE"/>
    <w:rsid w:val="00EE7967"/>
    <w:rsid w:val="00EF671C"/>
    <w:rsid w:val="00EF7326"/>
    <w:rsid w:val="00F026C5"/>
    <w:rsid w:val="00F0416C"/>
    <w:rsid w:val="00F07379"/>
    <w:rsid w:val="00F15664"/>
    <w:rsid w:val="00F1586C"/>
    <w:rsid w:val="00F2100F"/>
    <w:rsid w:val="00F22521"/>
    <w:rsid w:val="00F23C50"/>
    <w:rsid w:val="00F26B5D"/>
    <w:rsid w:val="00F272CD"/>
    <w:rsid w:val="00F31606"/>
    <w:rsid w:val="00F33E87"/>
    <w:rsid w:val="00F3740F"/>
    <w:rsid w:val="00F413D8"/>
    <w:rsid w:val="00F42051"/>
    <w:rsid w:val="00F43003"/>
    <w:rsid w:val="00F43645"/>
    <w:rsid w:val="00F45149"/>
    <w:rsid w:val="00F51D68"/>
    <w:rsid w:val="00F51FB9"/>
    <w:rsid w:val="00F5251C"/>
    <w:rsid w:val="00F61FFE"/>
    <w:rsid w:val="00F65697"/>
    <w:rsid w:val="00F744BC"/>
    <w:rsid w:val="00F83928"/>
    <w:rsid w:val="00F859C2"/>
    <w:rsid w:val="00F869F4"/>
    <w:rsid w:val="00F94EEA"/>
    <w:rsid w:val="00F968ED"/>
    <w:rsid w:val="00F96A26"/>
    <w:rsid w:val="00F9781A"/>
    <w:rsid w:val="00F97A72"/>
    <w:rsid w:val="00FA13A6"/>
    <w:rsid w:val="00FA6D65"/>
    <w:rsid w:val="00FA7C7B"/>
    <w:rsid w:val="00FB0470"/>
    <w:rsid w:val="00FB1820"/>
    <w:rsid w:val="00FB31F7"/>
    <w:rsid w:val="00FB6019"/>
    <w:rsid w:val="00FB704B"/>
    <w:rsid w:val="00FC35B3"/>
    <w:rsid w:val="00FD63C7"/>
    <w:rsid w:val="00FE1C73"/>
    <w:rsid w:val="00FE3362"/>
    <w:rsid w:val="00FE5BF8"/>
    <w:rsid w:val="00FF7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0166843"/>
  <w14:defaultImageDpi w14:val="300"/>
  <w15:docId w15:val="{83D485CD-F156-469A-AA63-7F9C548C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46814"/>
    <w:pPr>
      <w:tabs>
        <w:tab w:val="center" w:pos="4320"/>
        <w:tab w:val="right" w:pos="8640"/>
      </w:tabs>
    </w:pPr>
  </w:style>
  <w:style w:type="character" w:customStyle="1" w:styleId="IntestazioneCarattere">
    <w:name w:val="Intestazione Carattere"/>
    <w:basedOn w:val="Carpredefinitoparagrafo"/>
    <w:link w:val="Intestazione"/>
    <w:uiPriority w:val="99"/>
    <w:rsid w:val="00D46814"/>
  </w:style>
  <w:style w:type="paragraph" w:styleId="Pidipagina">
    <w:name w:val="footer"/>
    <w:basedOn w:val="Normale"/>
    <w:link w:val="PidipaginaCarattere"/>
    <w:unhideWhenUsed/>
    <w:rsid w:val="00D46814"/>
    <w:pPr>
      <w:tabs>
        <w:tab w:val="center" w:pos="4320"/>
        <w:tab w:val="right" w:pos="8640"/>
      </w:tabs>
    </w:pPr>
  </w:style>
  <w:style w:type="character" w:customStyle="1" w:styleId="PidipaginaCarattere">
    <w:name w:val="Piè di pagina Carattere"/>
    <w:basedOn w:val="Carpredefinitoparagrafo"/>
    <w:link w:val="Pidipagina"/>
    <w:uiPriority w:val="99"/>
    <w:rsid w:val="00D46814"/>
  </w:style>
  <w:style w:type="paragraph" w:styleId="Testofumetto">
    <w:name w:val="Balloon Text"/>
    <w:basedOn w:val="Normale"/>
    <w:link w:val="TestofumettoCarattere"/>
    <w:uiPriority w:val="99"/>
    <w:semiHidden/>
    <w:unhideWhenUsed/>
    <w:rsid w:val="00D4681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46814"/>
    <w:rPr>
      <w:rFonts w:ascii="Lucida Grande" w:hAnsi="Lucida Grande" w:cs="Lucida Grande"/>
      <w:sz w:val="18"/>
      <w:szCs w:val="18"/>
    </w:rPr>
  </w:style>
  <w:style w:type="paragraph" w:styleId="Paragrafoelenco">
    <w:name w:val="List Paragraph"/>
    <w:aliases w:val="Bullets,Odstavec se seznamem1,Summary Bullets,Bullet List,FooterText,Footer Setting,List Paragraph1,numbered,Paragraphe de liste1,Bulletr List Paragraph,列出段落1,List Paragraph2,List Paragraph21,Párrafo de lista1,Parágrafo da Lista1,リスト段落1"/>
    <w:basedOn w:val="Normale"/>
    <w:link w:val="ParagrafoelencoCarattere"/>
    <w:uiPriority w:val="34"/>
    <w:qFormat/>
    <w:rsid w:val="00DF5055"/>
    <w:pPr>
      <w:ind w:left="720"/>
      <w:contextualSpacing/>
    </w:pPr>
  </w:style>
  <w:style w:type="character" w:styleId="Rimandocommento">
    <w:name w:val="annotation reference"/>
    <w:basedOn w:val="Carpredefinitoparagrafo"/>
    <w:uiPriority w:val="99"/>
    <w:unhideWhenUsed/>
    <w:rsid w:val="00CE1AE0"/>
    <w:rPr>
      <w:sz w:val="16"/>
      <w:szCs w:val="16"/>
    </w:rPr>
  </w:style>
  <w:style w:type="paragraph" w:styleId="Testocommento">
    <w:name w:val="annotation text"/>
    <w:aliases w:val=" Char Char, Char,Char Char,Char,Annotationtext,Comment Text Char Char,Comment Text Char1 Char Char,Comment Text Char Char Char Char,Comment Text Char Char1,- H19,Comment Text Char2 Char,Car6,Comment Text Char1 Char, Car, Car17, Car17 Car"/>
    <w:basedOn w:val="Normale"/>
    <w:link w:val="TestocommentoCarattere"/>
    <w:uiPriority w:val="99"/>
    <w:unhideWhenUsed/>
    <w:qFormat/>
    <w:rsid w:val="00CE1AE0"/>
    <w:rPr>
      <w:sz w:val="20"/>
      <w:szCs w:val="20"/>
    </w:rPr>
  </w:style>
  <w:style w:type="character" w:customStyle="1" w:styleId="TestocommentoCarattere">
    <w:name w:val="Testo commento Carattere"/>
    <w:aliases w:val=" Char Char Carattere, Char Carattere,Char Char Carattere,Char Carattere,Annotationtext Carattere,Comment Text Char Char Carattere,Comment Text Char1 Char Char Carattere,Comment Text Char Char Char Char Carattere,- H19 Carattere"/>
    <w:basedOn w:val="Carpredefinitoparagrafo"/>
    <w:link w:val="Testocommento"/>
    <w:uiPriority w:val="99"/>
    <w:rsid w:val="00CE1AE0"/>
    <w:rPr>
      <w:sz w:val="20"/>
      <w:szCs w:val="20"/>
    </w:rPr>
  </w:style>
  <w:style w:type="paragraph" w:styleId="Soggettocommento">
    <w:name w:val="annotation subject"/>
    <w:basedOn w:val="Testocommento"/>
    <w:next w:val="Testocommento"/>
    <w:link w:val="SoggettocommentoCarattere"/>
    <w:uiPriority w:val="99"/>
    <w:semiHidden/>
    <w:unhideWhenUsed/>
    <w:rsid w:val="00CE1AE0"/>
    <w:rPr>
      <w:b/>
      <w:bCs/>
    </w:rPr>
  </w:style>
  <w:style w:type="character" w:customStyle="1" w:styleId="SoggettocommentoCarattere">
    <w:name w:val="Soggetto commento Carattere"/>
    <w:basedOn w:val="TestocommentoCarattere"/>
    <w:link w:val="Soggettocommento"/>
    <w:uiPriority w:val="99"/>
    <w:semiHidden/>
    <w:rsid w:val="00CE1AE0"/>
    <w:rPr>
      <w:b/>
      <w:bCs/>
      <w:sz w:val="20"/>
      <w:szCs w:val="20"/>
    </w:rPr>
  </w:style>
  <w:style w:type="character" w:styleId="Collegamentoipertestuale">
    <w:name w:val="Hyperlink"/>
    <w:basedOn w:val="Carpredefinitoparagrafo"/>
    <w:uiPriority w:val="99"/>
    <w:unhideWhenUsed/>
    <w:rsid w:val="00014185"/>
    <w:rPr>
      <w:rFonts w:ascii="Times New Roman" w:hAnsi="Times New Roman" w:cs="Times New Roman" w:hint="default"/>
      <w:color w:val="0000FF"/>
      <w:u w:val="single"/>
    </w:rPr>
  </w:style>
  <w:style w:type="paragraph" w:styleId="NormaleWeb">
    <w:name w:val="Normal (Web)"/>
    <w:basedOn w:val="Normale"/>
    <w:uiPriority w:val="99"/>
    <w:unhideWhenUsed/>
    <w:rsid w:val="00101637"/>
    <w:pPr>
      <w:spacing w:after="360"/>
    </w:pPr>
    <w:rPr>
      <w:rFonts w:ascii="Times New Roman" w:eastAsia="Times New Roman" w:hAnsi="Times New Roman" w:cs="Times New Roman"/>
      <w:lang w:val="en-GB" w:eastAsia="en-GB"/>
    </w:rPr>
  </w:style>
  <w:style w:type="character" w:styleId="Enfasigrassetto">
    <w:name w:val="Strong"/>
    <w:basedOn w:val="Carpredefinitoparagrafo"/>
    <w:uiPriority w:val="22"/>
    <w:qFormat/>
    <w:rsid w:val="00E000E2"/>
    <w:rPr>
      <w:b/>
      <w:bCs/>
    </w:rPr>
  </w:style>
  <w:style w:type="paragraph" w:styleId="PreformattatoHTML">
    <w:name w:val="HTML Preformatted"/>
    <w:link w:val="PreformattatoHTMLCarattere"/>
    <w:uiPriority w:val="99"/>
    <w:rsid w:val="00E000E2"/>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Arial Unicode MS"/>
      <w:color w:val="000000"/>
      <w:sz w:val="20"/>
      <w:szCs w:val="20"/>
      <w:u w:color="000000"/>
      <w:bdr w:val="nil"/>
      <w:lang w:eastAsia="it-IT"/>
    </w:rPr>
  </w:style>
  <w:style w:type="character" w:customStyle="1" w:styleId="PreformattatoHTMLCarattere">
    <w:name w:val="Preformattato HTML Carattere"/>
    <w:basedOn w:val="Carpredefinitoparagrafo"/>
    <w:link w:val="PreformattatoHTML"/>
    <w:uiPriority w:val="99"/>
    <w:rsid w:val="00E000E2"/>
    <w:rPr>
      <w:rFonts w:ascii="Courier New" w:eastAsia="Arial Unicode MS" w:hAnsi="Courier New" w:cs="Arial Unicode MS"/>
      <w:color w:val="000000"/>
      <w:sz w:val="20"/>
      <w:szCs w:val="20"/>
      <w:u w:color="000000"/>
      <w:bdr w:val="nil"/>
      <w:lang w:eastAsia="it-IT"/>
    </w:rPr>
  </w:style>
  <w:style w:type="paragraph" w:styleId="Testonotadichiusura">
    <w:name w:val="endnote text"/>
    <w:basedOn w:val="Normale"/>
    <w:link w:val="TestonotadichiusuraCarattere"/>
    <w:uiPriority w:val="99"/>
    <w:unhideWhenUsed/>
    <w:rsid w:val="00E000E2"/>
    <w:rPr>
      <w:rFonts w:ascii="Calibri" w:eastAsia="MS PGothic" w:hAnsi="Calibri" w:cs="Calibri"/>
      <w:sz w:val="20"/>
      <w:szCs w:val="20"/>
      <w:u w:color="000000"/>
      <w:lang w:eastAsia="ja-JP"/>
    </w:rPr>
  </w:style>
  <w:style w:type="character" w:customStyle="1" w:styleId="TestonotadichiusuraCarattere">
    <w:name w:val="Testo nota di chiusura Carattere"/>
    <w:basedOn w:val="Carpredefinitoparagrafo"/>
    <w:link w:val="Testonotadichiusura"/>
    <w:uiPriority w:val="99"/>
    <w:rsid w:val="00E000E2"/>
    <w:rPr>
      <w:rFonts w:ascii="Calibri" w:eastAsia="MS PGothic" w:hAnsi="Calibri" w:cs="Calibri"/>
      <w:sz w:val="20"/>
      <w:szCs w:val="20"/>
      <w:u w:color="000000"/>
      <w:lang w:eastAsia="ja-JP"/>
    </w:rPr>
  </w:style>
  <w:style w:type="character" w:styleId="Rimandonotadichiusura">
    <w:name w:val="endnote reference"/>
    <w:basedOn w:val="Carpredefinitoparagrafo"/>
    <w:uiPriority w:val="99"/>
    <w:unhideWhenUsed/>
    <w:rsid w:val="00E000E2"/>
    <w:rPr>
      <w:vertAlign w:val="superscript"/>
    </w:rPr>
  </w:style>
  <w:style w:type="character" w:customStyle="1" w:styleId="normaltextrun">
    <w:name w:val="normaltextrun"/>
    <w:basedOn w:val="Carpredefinitoparagrafo"/>
    <w:rsid w:val="00E000E2"/>
  </w:style>
  <w:style w:type="character" w:customStyle="1" w:styleId="Nessuno">
    <w:name w:val="Nessuno"/>
    <w:rsid w:val="00E000E2"/>
  </w:style>
  <w:style w:type="character" w:customStyle="1" w:styleId="Hyperlink0">
    <w:name w:val="Hyperlink.0"/>
    <w:basedOn w:val="Nessuno"/>
    <w:rsid w:val="00E000E2"/>
    <w:rPr>
      <w:rFonts w:ascii="Times New Roman" w:eastAsia="Times New Roman" w:hAnsi="Times New Roman" w:cs="Times New Roman"/>
      <w:color w:val="0000FF"/>
      <w:sz w:val="20"/>
      <w:szCs w:val="20"/>
      <w:u w:val="none" w:color="0000FF"/>
      <w:lang w:val="en-US"/>
    </w:rPr>
  </w:style>
  <w:style w:type="character" w:customStyle="1" w:styleId="Hyperlink1">
    <w:name w:val="Hyperlink.1"/>
    <w:basedOn w:val="Nessuno"/>
    <w:rsid w:val="00555ECB"/>
    <w:rPr>
      <w:rFonts w:ascii="Times New Roman" w:eastAsia="Times New Roman" w:hAnsi="Times New Roman" w:cs="Times New Roman"/>
      <w:color w:val="0000FF"/>
      <w:sz w:val="18"/>
      <w:szCs w:val="18"/>
      <w:u w:val="none" w:color="0000FF"/>
      <w:lang w:val="it-IT"/>
    </w:rPr>
  </w:style>
  <w:style w:type="paragraph" w:customStyle="1" w:styleId="xmsonormal">
    <w:name w:val="x_msonormal"/>
    <w:basedOn w:val="Normale"/>
    <w:rsid w:val="006808DB"/>
    <w:pPr>
      <w:spacing w:before="100" w:beforeAutospacing="1" w:after="100" w:afterAutospacing="1"/>
    </w:pPr>
    <w:rPr>
      <w:rFonts w:ascii="Times New Roman" w:eastAsia="Times New Roman" w:hAnsi="Times New Roman" w:cs="Times New Roman"/>
    </w:rPr>
  </w:style>
  <w:style w:type="paragraph" w:customStyle="1" w:styleId="Default">
    <w:name w:val="Default"/>
    <w:uiPriority w:val="99"/>
    <w:rsid w:val="00D6392B"/>
    <w:pPr>
      <w:autoSpaceDE w:val="0"/>
      <w:autoSpaceDN w:val="0"/>
      <w:adjustRightInd w:val="0"/>
    </w:pPr>
    <w:rPr>
      <w:rFonts w:ascii="Times New Roman" w:eastAsiaTheme="minorHAnsi" w:hAnsi="Times New Roman" w:cs="Times New Roman"/>
      <w:color w:val="000000"/>
    </w:rPr>
  </w:style>
  <w:style w:type="character" w:customStyle="1" w:styleId="A2">
    <w:name w:val="A2"/>
    <w:uiPriority w:val="99"/>
    <w:rsid w:val="00C6519A"/>
    <w:rPr>
      <w:color w:val="000000"/>
      <w:sz w:val="22"/>
      <w:szCs w:val="22"/>
    </w:rPr>
  </w:style>
  <w:style w:type="character" w:styleId="Menzionenonrisolta">
    <w:name w:val="Unresolved Mention"/>
    <w:basedOn w:val="Carpredefinitoparagrafo"/>
    <w:uiPriority w:val="99"/>
    <w:semiHidden/>
    <w:unhideWhenUsed/>
    <w:rsid w:val="00E57227"/>
    <w:rPr>
      <w:color w:val="605E5C"/>
      <w:shd w:val="clear" w:color="auto" w:fill="E1DFDD"/>
    </w:rPr>
  </w:style>
  <w:style w:type="character" w:customStyle="1" w:styleId="hgkelc">
    <w:name w:val="hgkelc"/>
    <w:basedOn w:val="Carpredefinitoparagrafo"/>
    <w:rsid w:val="00835CE0"/>
  </w:style>
  <w:style w:type="character" w:customStyle="1" w:styleId="apple-converted-space">
    <w:name w:val="apple-converted-space"/>
    <w:basedOn w:val="Carpredefinitoparagrafo"/>
    <w:rsid w:val="0030680F"/>
  </w:style>
  <w:style w:type="character" w:customStyle="1" w:styleId="ParagrafoelencoCarattere">
    <w:name w:val="Paragrafo elenco Carattere"/>
    <w:aliases w:val="Bullets Carattere,Odstavec se seznamem1 Carattere,Summary Bullets Carattere,Bullet List Carattere,FooterText Carattere,Footer Setting Carattere,List Paragraph1 Carattere,numbered Carattere,Paragraphe de liste1 Carattere"/>
    <w:link w:val="Paragrafoelenco"/>
    <w:uiPriority w:val="34"/>
    <w:qFormat/>
    <w:rsid w:val="000C0C79"/>
  </w:style>
  <w:style w:type="character" w:customStyle="1" w:styleId="xn-chron">
    <w:name w:val="xn-chron"/>
    <w:basedOn w:val="Carpredefinitoparagrafo"/>
    <w:rsid w:val="000C0C79"/>
  </w:style>
  <w:style w:type="paragraph" w:styleId="Nessunaspaziatura">
    <w:name w:val="No Spacing"/>
    <w:link w:val="NessunaspaziaturaCarattere"/>
    <w:uiPriority w:val="1"/>
    <w:qFormat/>
    <w:rsid w:val="00474834"/>
    <w:rPr>
      <w:rFonts w:ascii="Times" w:eastAsia="Times New Roman" w:hAnsi="Times" w:cs="Times New Roman"/>
      <w:szCs w:val="20"/>
    </w:rPr>
  </w:style>
  <w:style w:type="character" w:styleId="Rimandonotaapidipagina">
    <w:name w:val="footnote reference"/>
    <w:basedOn w:val="Carpredefinitoparagrafo"/>
    <w:uiPriority w:val="99"/>
    <w:semiHidden/>
    <w:unhideWhenUsed/>
    <w:rsid w:val="00474834"/>
    <w:rPr>
      <w:vertAlign w:val="superscript"/>
    </w:rPr>
  </w:style>
  <w:style w:type="table" w:styleId="Grigliatabella">
    <w:name w:val="Table Grid"/>
    <w:basedOn w:val="Tabellanormale"/>
    <w:uiPriority w:val="39"/>
    <w:rsid w:val="00474834"/>
    <w:rPr>
      <w:rFonts w:eastAsia="MS Minch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aspaziaturaCarattere">
    <w:name w:val="Nessuna spaziatura Carattere"/>
    <w:basedOn w:val="Carpredefinitoparagrafo"/>
    <w:link w:val="Nessunaspaziatura"/>
    <w:uiPriority w:val="1"/>
    <w:rsid w:val="00474834"/>
    <w:rPr>
      <w:rFonts w:ascii="Times" w:eastAsia="Times New Roman" w:hAnsi="Times" w:cs="Times New Roman"/>
      <w:szCs w:val="20"/>
    </w:rPr>
  </w:style>
  <w:style w:type="character" w:styleId="Collegamentovisitato">
    <w:name w:val="FollowedHyperlink"/>
    <w:basedOn w:val="Carpredefinitoparagrafo"/>
    <w:uiPriority w:val="99"/>
    <w:semiHidden/>
    <w:unhideWhenUsed/>
    <w:rsid w:val="00334323"/>
    <w:rPr>
      <w:color w:val="9DB0A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1938">
      <w:bodyDiv w:val="1"/>
      <w:marLeft w:val="0"/>
      <w:marRight w:val="0"/>
      <w:marTop w:val="0"/>
      <w:marBottom w:val="0"/>
      <w:divBdr>
        <w:top w:val="none" w:sz="0" w:space="0" w:color="auto"/>
        <w:left w:val="none" w:sz="0" w:space="0" w:color="auto"/>
        <w:bottom w:val="none" w:sz="0" w:space="0" w:color="auto"/>
        <w:right w:val="none" w:sz="0" w:space="0" w:color="auto"/>
      </w:divBdr>
    </w:div>
    <w:div w:id="159662529">
      <w:bodyDiv w:val="1"/>
      <w:marLeft w:val="0"/>
      <w:marRight w:val="0"/>
      <w:marTop w:val="0"/>
      <w:marBottom w:val="0"/>
      <w:divBdr>
        <w:top w:val="none" w:sz="0" w:space="0" w:color="auto"/>
        <w:left w:val="none" w:sz="0" w:space="0" w:color="auto"/>
        <w:bottom w:val="none" w:sz="0" w:space="0" w:color="auto"/>
        <w:right w:val="none" w:sz="0" w:space="0" w:color="auto"/>
      </w:divBdr>
    </w:div>
    <w:div w:id="192502957">
      <w:bodyDiv w:val="1"/>
      <w:marLeft w:val="0"/>
      <w:marRight w:val="0"/>
      <w:marTop w:val="0"/>
      <w:marBottom w:val="0"/>
      <w:divBdr>
        <w:top w:val="none" w:sz="0" w:space="0" w:color="auto"/>
        <w:left w:val="none" w:sz="0" w:space="0" w:color="auto"/>
        <w:bottom w:val="none" w:sz="0" w:space="0" w:color="auto"/>
        <w:right w:val="none" w:sz="0" w:space="0" w:color="auto"/>
      </w:divBdr>
    </w:div>
    <w:div w:id="319316035">
      <w:bodyDiv w:val="1"/>
      <w:marLeft w:val="0"/>
      <w:marRight w:val="0"/>
      <w:marTop w:val="0"/>
      <w:marBottom w:val="0"/>
      <w:divBdr>
        <w:top w:val="none" w:sz="0" w:space="0" w:color="auto"/>
        <w:left w:val="none" w:sz="0" w:space="0" w:color="auto"/>
        <w:bottom w:val="none" w:sz="0" w:space="0" w:color="auto"/>
        <w:right w:val="none" w:sz="0" w:space="0" w:color="auto"/>
      </w:divBdr>
    </w:div>
    <w:div w:id="402679975">
      <w:bodyDiv w:val="1"/>
      <w:marLeft w:val="0"/>
      <w:marRight w:val="0"/>
      <w:marTop w:val="0"/>
      <w:marBottom w:val="0"/>
      <w:divBdr>
        <w:top w:val="none" w:sz="0" w:space="0" w:color="auto"/>
        <w:left w:val="none" w:sz="0" w:space="0" w:color="auto"/>
        <w:bottom w:val="none" w:sz="0" w:space="0" w:color="auto"/>
        <w:right w:val="none" w:sz="0" w:space="0" w:color="auto"/>
      </w:divBdr>
      <w:divsChild>
        <w:div w:id="1758479349">
          <w:marLeft w:val="0"/>
          <w:marRight w:val="0"/>
          <w:marTop w:val="0"/>
          <w:marBottom w:val="0"/>
          <w:divBdr>
            <w:top w:val="none" w:sz="0" w:space="0" w:color="auto"/>
            <w:left w:val="none" w:sz="0" w:space="0" w:color="auto"/>
            <w:bottom w:val="none" w:sz="0" w:space="0" w:color="auto"/>
            <w:right w:val="none" w:sz="0" w:space="0" w:color="auto"/>
          </w:divBdr>
          <w:divsChild>
            <w:div w:id="406805626">
              <w:marLeft w:val="0"/>
              <w:marRight w:val="0"/>
              <w:marTop w:val="0"/>
              <w:marBottom w:val="0"/>
              <w:divBdr>
                <w:top w:val="none" w:sz="0" w:space="0" w:color="auto"/>
                <w:left w:val="none" w:sz="0" w:space="0" w:color="auto"/>
                <w:bottom w:val="none" w:sz="0" w:space="0" w:color="auto"/>
                <w:right w:val="none" w:sz="0" w:space="0" w:color="auto"/>
              </w:divBdr>
              <w:divsChild>
                <w:div w:id="1693997670">
                  <w:marLeft w:val="0"/>
                  <w:marRight w:val="0"/>
                  <w:marTop w:val="0"/>
                  <w:marBottom w:val="0"/>
                  <w:divBdr>
                    <w:top w:val="none" w:sz="0" w:space="0" w:color="auto"/>
                    <w:left w:val="none" w:sz="0" w:space="0" w:color="auto"/>
                    <w:bottom w:val="none" w:sz="0" w:space="0" w:color="auto"/>
                    <w:right w:val="none" w:sz="0" w:space="0" w:color="auto"/>
                  </w:divBdr>
                  <w:divsChild>
                    <w:div w:id="705448501">
                      <w:marLeft w:val="0"/>
                      <w:marRight w:val="0"/>
                      <w:marTop w:val="0"/>
                      <w:marBottom w:val="0"/>
                      <w:divBdr>
                        <w:top w:val="none" w:sz="0" w:space="0" w:color="auto"/>
                        <w:left w:val="none" w:sz="0" w:space="0" w:color="auto"/>
                        <w:bottom w:val="none" w:sz="0" w:space="0" w:color="auto"/>
                        <w:right w:val="none" w:sz="0" w:space="0" w:color="auto"/>
                      </w:divBdr>
                      <w:divsChild>
                        <w:div w:id="1539659213">
                          <w:marLeft w:val="0"/>
                          <w:marRight w:val="0"/>
                          <w:marTop w:val="0"/>
                          <w:marBottom w:val="0"/>
                          <w:divBdr>
                            <w:top w:val="none" w:sz="0" w:space="0" w:color="auto"/>
                            <w:left w:val="none" w:sz="0" w:space="0" w:color="auto"/>
                            <w:bottom w:val="none" w:sz="0" w:space="0" w:color="auto"/>
                            <w:right w:val="none" w:sz="0" w:space="0" w:color="auto"/>
                          </w:divBdr>
                          <w:divsChild>
                            <w:div w:id="281420324">
                              <w:marLeft w:val="0"/>
                              <w:marRight w:val="0"/>
                              <w:marTop w:val="0"/>
                              <w:marBottom w:val="0"/>
                              <w:divBdr>
                                <w:top w:val="none" w:sz="0" w:space="0" w:color="auto"/>
                                <w:left w:val="none" w:sz="0" w:space="0" w:color="auto"/>
                                <w:bottom w:val="none" w:sz="0" w:space="0" w:color="auto"/>
                                <w:right w:val="none" w:sz="0" w:space="0" w:color="auto"/>
                              </w:divBdr>
                              <w:divsChild>
                                <w:div w:id="20666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012438">
      <w:bodyDiv w:val="1"/>
      <w:marLeft w:val="0"/>
      <w:marRight w:val="0"/>
      <w:marTop w:val="0"/>
      <w:marBottom w:val="0"/>
      <w:divBdr>
        <w:top w:val="none" w:sz="0" w:space="0" w:color="auto"/>
        <w:left w:val="none" w:sz="0" w:space="0" w:color="auto"/>
        <w:bottom w:val="none" w:sz="0" w:space="0" w:color="auto"/>
        <w:right w:val="none" w:sz="0" w:space="0" w:color="auto"/>
      </w:divBdr>
    </w:div>
    <w:div w:id="511535523">
      <w:bodyDiv w:val="1"/>
      <w:marLeft w:val="0"/>
      <w:marRight w:val="0"/>
      <w:marTop w:val="0"/>
      <w:marBottom w:val="0"/>
      <w:divBdr>
        <w:top w:val="none" w:sz="0" w:space="0" w:color="auto"/>
        <w:left w:val="none" w:sz="0" w:space="0" w:color="auto"/>
        <w:bottom w:val="none" w:sz="0" w:space="0" w:color="auto"/>
        <w:right w:val="none" w:sz="0" w:space="0" w:color="auto"/>
      </w:divBdr>
    </w:div>
    <w:div w:id="534512458">
      <w:bodyDiv w:val="1"/>
      <w:marLeft w:val="0"/>
      <w:marRight w:val="0"/>
      <w:marTop w:val="0"/>
      <w:marBottom w:val="0"/>
      <w:divBdr>
        <w:top w:val="none" w:sz="0" w:space="0" w:color="auto"/>
        <w:left w:val="none" w:sz="0" w:space="0" w:color="auto"/>
        <w:bottom w:val="none" w:sz="0" w:space="0" w:color="auto"/>
        <w:right w:val="none" w:sz="0" w:space="0" w:color="auto"/>
      </w:divBdr>
    </w:div>
    <w:div w:id="540441437">
      <w:bodyDiv w:val="1"/>
      <w:marLeft w:val="0"/>
      <w:marRight w:val="0"/>
      <w:marTop w:val="0"/>
      <w:marBottom w:val="0"/>
      <w:divBdr>
        <w:top w:val="none" w:sz="0" w:space="0" w:color="auto"/>
        <w:left w:val="none" w:sz="0" w:space="0" w:color="auto"/>
        <w:bottom w:val="none" w:sz="0" w:space="0" w:color="auto"/>
        <w:right w:val="none" w:sz="0" w:space="0" w:color="auto"/>
      </w:divBdr>
    </w:div>
    <w:div w:id="542712879">
      <w:bodyDiv w:val="1"/>
      <w:marLeft w:val="0"/>
      <w:marRight w:val="0"/>
      <w:marTop w:val="0"/>
      <w:marBottom w:val="0"/>
      <w:divBdr>
        <w:top w:val="none" w:sz="0" w:space="0" w:color="auto"/>
        <w:left w:val="none" w:sz="0" w:space="0" w:color="auto"/>
        <w:bottom w:val="none" w:sz="0" w:space="0" w:color="auto"/>
        <w:right w:val="none" w:sz="0" w:space="0" w:color="auto"/>
      </w:divBdr>
    </w:div>
    <w:div w:id="618296987">
      <w:bodyDiv w:val="1"/>
      <w:marLeft w:val="0"/>
      <w:marRight w:val="0"/>
      <w:marTop w:val="0"/>
      <w:marBottom w:val="0"/>
      <w:divBdr>
        <w:top w:val="none" w:sz="0" w:space="0" w:color="auto"/>
        <w:left w:val="none" w:sz="0" w:space="0" w:color="auto"/>
        <w:bottom w:val="none" w:sz="0" w:space="0" w:color="auto"/>
        <w:right w:val="none" w:sz="0" w:space="0" w:color="auto"/>
      </w:divBdr>
    </w:div>
    <w:div w:id="624237704">
      <w:bodyDiv w:val="1"/>
      <w:marLeft w:val="0"/>
      <w:marRight w:val="0"/>
      <w:marTop w:val="0"/>
      <w:marBottom w:val="0"/>
      <w:divBdr>
        <w:top w:val="none" w:sz="0" w:space="0" w:color="auto"/>
        <w:left w:val="none" w:sz="0" w:space="0" w:color="auto"/>
        <w:bottom w:val="none" w:sz="0" w:space="0" w:color="auto"/>
        <w:right w:val="none" w:sz="0" w:space="0" w:color="auto"/>
      </w:divBdr>
    </w:div>
    <w:div w:id="646858691">
      <w:bodyDiv w:val="1"/>
      <w:marLeft w:val="0"/>
      <w:marRight w:val="0"/>
      <w:marTop w:val="0"/>
      <w:marBottom w:val="0"/>
      <w:divBdr>
        <w:top w:val="none" w:sz="0" w:space="0" w:color="auto"/>
        <w:left w:val="none" w:sz="0" w:space="0" w:color="auto"/>
        <w:bottom w:val="none" w:sz="0" w:space="0" w:color="auto"/>
        <w:right w:val="none" w:sz="0" w:space="0" w:color="auto"/>
      </w:divBdr>
    </w:div>
    <w:div w:id="710151859">
      <w:bodyDiv w:val="1"/>
      <w:marLeft w:val="0"/>
      <w:marRight w:val="0"/>
      <w:marTop w:val="0"/>
      <w:marBottom w:val="0"/>
      <w:divBdr>
        <w:top w:val="none" w:sz="0" w:space="0" w:color="auto"/>
        <w:left w:val="none" w:sz="0" w:space="0" w:color="auto"/>
        <w:bottom w:val="none" w:sz="0" w:space="0" w:color="auto"/>
        <w:right w:val="none" w:sz="0" w:space="0" w:color="auto"/>
      </w:divBdr>
    </w:div>
    <w:div w:id="715740938">
      <w:bodyDiv w:val="1"/>
      <w:marLeft w:val="0"/>
      <w:marRight w:val="0"/>
      <w:marTop w:val="0"/>
      <w:marBottom w:val="0"/>
      <w:divBdr>
        <w:top w:val="none" w:sz="0" w:space="0" w:color="auto"/>
        <w:left w:val="none" w:sz="0" w:space="0" w:color="auto"/>
        <w:bottom w:val="none" w:sz="0" w:space="0" w:color="auto"/>
        <w:right w:val="none" w:sz="0" w:space="0" w:color="auto"/>
      </w:divBdr>
    </w:div>
    <w:div w:id="750004263">
      <w:bodyDiv w:val="1"/>
      <w:marLeft w:val="0"/>
      <w:marRight w:val="0"/>
      <w:marTop w:val="0"/>
      <w:marBottom w:val="0"/>
      <w:divBdr>
        <w:top w:val="none" w:sz="0" w:space="0" w:color="auto"/>
        <w:left w:val="none" w:sz="0" w:space="0" w:color="auto"/>
        <w:bottom w:val="none" w:sz="0" w:space="0" w:color="auto"/>
        <w:right w:val="none" w:sz="0" w:space="0" w:color="auto"/>
      </w:divBdr>
    </w:div>
    <w:div w:id="767386044">
      <w:bodyDiv w:val="1"/>
      <w:marLeft w:val="0"/>
      <w:marRight w:val="0"/>
      <w:marTop w:val="0"/>
      <w:marBottom w:val="0"/>
      <w:divBdr>
        <w:top w:val="none" w:sz="0" w:space="0" w:color="auto"/>
        <w:left w:val="none" w:sz="0" w:space="0" w:color="auto"/>
        <w:bottom w:val="none" w:sz="0" w:space="0" w:color="auto"/>
        <w:right w:val="none" w:sz="0" w:space="0" w:color="auto"/>
      </w:divBdr>
    </w:div>
    <w:div w:id="1052270916">
      <w:bodyDiv w:val="1"/>
      <w:marLeft w:val="0"/>
      <w:marRight w:val="0"/>
      <w:marTop w:val="0"/>
      <w:marBottom w:val="0"/>
      <w:divBdr>
        <w:top w:val="none" w:sz="0" w:space="0" w:color="auto"/>
        <w:left w:val="none" w:sz="0" w:space="0" w:color="auto"/>
        <w:bottom w:val="none" w:sz="0" w:space="0" w:color="auto"/>
        <w:right w:val="none" w:sz="0" w:space="0" w:color="auto"/>
      </w:divBdr>
    </w:div>
    <w:div w:id="1110779106">
      <w:bodyDiv w:val="1"/>
      <w:marLeft w:val="0"/>
      <w:marRight w:val="0"/>
      <w:marTop w:val="0"/>
      <w:marBottom w:val="0"/>
      <w:divBdr>
        <w:top w:val="none" w:sz="0" w:space="0" w:color="auto"/>
        <w:left w:val="none" w:sz="0" w:space="0" w:color="auto"/>
        <w:bottom w:val="none" w:sz="0" w:space="0" w:color="auto"/>
        <w:right w:val="none" w:sz="0" w:space="0" w:color="auto"/>
      </w:divBdr>
    </w:div>
    <w:div w:id="1169519002">
      <w:bodyDiv w:val="1"/>
      <w:marLeft w:val="0"/>
      <w:marRight w:val="0"/>
      <w:marTop w:val="0"/>
      <w:marBottom w:val="0"/>
      <w:divBdr>
        <w:top w:val="none" w:sz="0" w:space="0" w:color="auto"/>
        <w:left w:val="none" w:sz="0" w:space="0" w:color="auto"/>
        <w:bottom w:val="none" w:sz="0" w:space="0" w:color="auto"/>
        <w:right w:val="none" w:sz="0" w:space="0" w:color="auto"/>
      </w:divBdr>
    </w:div>
    <w:div w:id="1300725618">
      <w:bodyDiv w:val="1"/>
      <w:marLeft w:val="0"/>
      <w:marRight w:val="0"/>
      <w:marTop w:val="0"/>
      <w:marBottom w:val="0"/>
      <w:divBdr>
        <w:top w:val="none" w:sz="0" w:space="0" w:color="auto"/>
        <w:left w:val="none" w:sz="0" w:space="0" w:color="auto"/>
        <w:bottom w:val="none" w:sz="0" w:space="0" w:color="auto"/>
        <w:right w:val="none" w:sz="0" w:space="0" w:color="auto"/>
      </w:divBdr>
    </w:div>
    <w:div w:id="1495335985">
      <w:bodyDiv w:val="1"/>
      <w:marLeft w:val="0"/>
      <w:marRight w:val="0"/>
      <w:marTop w:val="0"/>
      <w:marBottom w:val="0"/>
      <w:divBdr>
        <w:top w:val="none" w:sz="0" w:space="0" w:color="auto"/>
        <w:left w:val="none" w:sz="0" w:space="0" w:color="auto"/>
        <w:bottom w:val="none" w:sz="0" w:space="0" w:color="auto"/>
        <w:right w:val="none" w:sz="0" w:space="0" w:color="auto"/>
      </w:divBdr>
    </w:div>
    <w:div w:id="1500075303">
      <w:bodyDiv w:val="1"/>
      <w:marLeft w:val="0"/>
      <w:marRight w:val="0"/>
      <w:marTop w:val="0"/>
      <w:marBottom w:val="0"/>
      <w:divBdr>
        <w:top w:val="none" w:sz="0" w:space="0" w:color="auto"/>
        <w:left w:val="none" w:sz="0" w:space="0" w:color="auto"/>
        <w:bottom w:val="none" w:sz="0" w:space="0" w:color="auto"/>
        <w:right w:val="none" w:sz="0" w:space="0" w:color="auto"/>
      </w:divBdr>
    </w:div>
    <w:div w:id="1502433104">
      <w:bodyDiv w:val="1"/>
      <w:marLeft w:val="0"/>
      <w:marRight w:val="0"/>
      <w:marTop w:val="0"/>
      <w:marBottom w:val="0"/>
      <w:divBdr>
        <w:top w:val="none" w:sz="0" w:space="0" w:color="auto"/>
        <w:left w:val="none" w:sz="0" w:space="0" w:color="auto"/>
        <w:bottom w:val="none" w:sz="0" w:space="0" w:color="auto"/>
        <w:right w:val="none" w:sz="0" w:space="0" w:color="auto"/>
      </w:divBdr>
    </w:div>
    <w:div w:id="1515998963">
      <w:bodyDiv w:val="1"/>
      <w:marLeft w:val="0"/>
      <w:marRight w:val="0"/>
      <w:marTop w:val="0"/>
      <w:marBottom w:val="0"/>
      <w:divBdr>
        <w:top w:val="none" w:sz="0" w:space="0" w:color="auto"/>
        <w:left w:val="none" w:sz="0" w:space="0" w:color="auto"/>
        <w:bottom w:val="none" w:sz="0" w:space="0" w:color="auto"/>
        <w:right w:val="none" w:sz="0" w:space="0" w:color="auto"/>
      </w:divBdr>
    </w:div>
    <w:div w:id="1653488207">
      <w:bodyDiv w:val="1"/>
      <w:marLeft w:val="0"/>
      <w:marRight w:val="0"/>
      <w:marTop w:val="0"/>
      <w:marBottom w:val="0"/>
      <w:divBdr>
        <w:top w:val="none" w:sz="0" w:space="0" w:color="auto"/>
        <w:left w:val="none" w:sz="0" w:space="0" w:color="auto"/>
        <w:bottom w:val="none" w:sz="0" w:space="0" w:color="auto"/>
        <w:right w:val="none" w:sz="0" w:space="0" w:color="auto"/>
      </w:divBdr>
    </w:div>
    <w:div w:id="1832213680">
      <w:bodyDiv w:val="1"/>
      <w:marLeft w:val="0"/>
      <w:marRight w:val="0"/>
      <w:marTop w:val="0"/>
      <w:marBottom w:val="0"/>
      <w:divBdr>
        <w:top w:val="none" w:sz="0" w:space="0" w:color="auto"/>
        <w:left w:val="none" w:sz="0" w:space="0" w:color="auto"/>
        <w:bottom w:val="none" w:sz="0" w:space="0" w:color="auto"/>
        <w:right w:val="none" w:sz="0" w:space="0" w:color="auto"/>
      </w:divBdr>
    </w:div>
    <w:div w:id="1857376878">
      <w:bodyDiv w:val="1"/>
      <w:marLeft w:val="0"/>
      <w:marRight w:val="0"/>
      <w:marTop w:val="0"/>
      <w:marBottom w:val="0"/>
      <w:divBdr>
        <w:top w:val="none" w:sz="0" w:space="0" w:color="auto"/>
        <w:left w:val="none" w:sz="0" w:space="0" w:color="auto"/>
        <w:bottom w:val="none" w:sz="0" w:space="0" w:color="auto"/>
        <w:right w:val="none" w:sz="0" w:space="0" w:color="auto"/>
      </w:divBdr>
    </w:div>
    <w:div w:id="1909265325">
      <w:bodyDiv w:val="1"/>
      <w:marLeft w:val="0"/>
      <w:marRight w:val="0"/>
      <w:marTop w:val="0"/>
      <w:marBottom w:val="0"/>
      <w:divBdr>
        <w:top w:val="none" w:sz="0" w:space="0" w:color="auto"/>
        <w:left w:val="none" w:sz="0" w:space="0" w:color="auto"/>
        <w:bottom w:val="none" w:sz="0" w:space="0" w:color="auto"/>
        <w:right w:val="none" w:sz="0" w:space="0" w:color="auto"/>
      </w:divBdr>
    </w:div>
    <w:div w:id="1925796367">
      <w:bodyDiv w:val="1"/>
      <w:marLeft w:val="0"/>
      <w:marRight w:val="0"/>
      <w:marTop w:val="0"/>
      <w:marBottom w:val="0"/>
      <w:divBdr>
        <w:top w:val="none" w:sz="0" w:space="0" w:color="auto"/>
        <w:left w:val="none" w:sz="0" w:space="0" w:color="auto"/>
        <w:bottom w:val="none" w:sz="0" w:space="0" w:color="auto"/>
        <w:right w:val="none" w:sz="0" w:space="0" w:color="auto"/>
      </w:divBdr>
    </w:div>
    <w:div w:id="1976908571">
      <w:bodyDiv w:val="1"/>
      <w:marLeft w:val="0"/>
      <w:marRight w:val="0"/>
      <w:marTop w:val="0"/>
      <w:marBottom w:val="0"/>
      <w:divBdr>
        <w:top w:val="none" w:sz="0" w:space="0" w:color="auto"/>
        <w:left w:val="none" w:sz="0" w:space="0" w:color="auto"/>
        <w:bottom w:val="none" w:sz="0" w:space="0" w:color="auto"/>
        <w:right w:val="none" w:sz="0" w:space="0" w:color="auto"/>
      </w:divBdr>
    </w:div>
    <w:div w:id="2000692780">
      <w:bodyDiv w:val="1"/>
      <w:marLeft w:val="0"/>
      <w:marRight w:val="0"/>
      <w:marTop w:val="0"/>
      <w:marBottom w:val="0"/>
      <w:divBdr>
        <w:top w:val="none" w:sz="0" w:space="0" w:color="auto"/>
        <w:left w:val="none" w:sz="0" w:space="0" w:color="auto"/>
        <w:bottom w:val="none" w:sz="0" w:space="0" w:color="auto"/>
        <w:right w:val="none" w:sz="0" w:space="0" w:color="auto"/>
      </w:divBdr>
    </w:div>
    <w:div w:id="20410842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lancet.com/journals/lancet/article/PIIS0140-6736%2822%2902420-5/fulltext" TargetMode="External"/><Relationship Id="rId13" Type="http://schemas.openxmlformats.org/officeDocument/2006/relationships/hyperlink" Target="https://clinicaltrials.gov/ct2/show/NCT03529110" TargetMode="External"/><Relationship Id="rId18" Type="http://schemas.openxmlformats.org/officeDocument/2006/relationships/hyperlink" Target="https://www.daiichisankyo.com/media_investors/media_relations/press_releases/detail/006988.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elisa.porchetti@daiichi-sankyo.it" TargetMode="External"/><Relationship Id="rId7" Type="http://schemas.openxmlformats.org/officeDocument/2006/relationships/endnotes" Target="endnotes.xml"/><Relationship Id="rId12" Type="http://schemas.openxmlformats.org/officeDocument/2006/relationships/hyperlink" Target="https://clinicaltrials.gov/ct2/show/NCT03523585?term=DESTINY-Breast02&amp;draw=2&amp;rank=1" TargetMode="External"/><Relationship Id="rId17" Type="http://schemas.openxmlformats.org/officeDocument/2006/relationships/hyperlink" Target="https://clinicaltrials.gov/ct2/show/NCT0332969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linicaltrials.gov/ct2/show/NCT04644237" TargetMode="External"/><Relationship Id="rId20" Type="http://schemas.openxmlformats.org/officeDocument/2006/relationships/hyperlink" Target="http://www.daiichi-sankyo.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inicaltrials.gov/ct2/show/NCT03529110?term=DS-8201&amp;rank=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linicaltrials.gov/ct2/show/NCT03734029" TargetMode="External"/><Relationship Id="rId23" Type="http://schemas.openxmlformats.org/officeDocument/2006/relationships/hyperlink" Target="mailto:ilaria.piuzzi@astrazeneca.com" TargetMode="External"/><Relationship Id="rId10" Type="http://schemas.openxmlformats.org/officeDocument/2006/relationships/hyperlink" Target="https://www.thelancet.com/" TargetMode="External"/><Relationship Id="rId19" Type="http://schemas.openxmlformats.org/officeDocument/2006/relationships/hyperlink" Target="https://www.daiichisankyo.com/media_investors/media_relations/press_releases/detail/007172.html" TargetMode="External"/><Relationship Id="rId4" Type="http://schemas.openxmlformats.org/officeDocument/2006/relationships/settings" Target="settings.xml"/><Relationship Id="rId9" Type="http://schemas.openxmlformats.org/officeDocument/2006/relationships/hyperlink" Target="https://www.nejm.org/doi/full/10.1056/NEJMoa2115022" TargetMode="External"/><Relationship Id="rId14" Type="http://schemas.openxmlformats.org/officeDocument/2006/relationships/hyperlink" Target="https://clinicaltrials.gov/ct2/show/NCT03248492" TargetMode="External"/><Relationship Id="rId22" Type="http://schemas.openxmlformats.org/officeDocument/2006/relationships/hyperlink" Target="mailto:valeria.carbonebasile@gmail.com" TargetMode="External"/><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pubmed.ncbi.nlm.nih.gov/24887180" TargetMode="External"/><Relationship Id="rId2" Type="http://schemas.openxmlformats.org/officeDocument/2006/relationships/hyperlink" Target="https://pubmed.ncbi.nlm.nih.gov/28743157/" TargetMode="External"/><Relationship Id="rId1" Type="http://schemas.openxmlformats.org/officeDocument/2006/relationships/hyperlink" Target="https://pubmed.ncbi.nlm.nih.gov/25276427/" TargetMode="External"/><Relationship Id="rId4" Type="http://schemas.openxmlformats.org/officeDocument/2006/relationships/hyperlink" Target="https://www.ncbi.nlm.nih.gov/pmc/articles/PMC874145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SI-AZ-POWERPOINT">
  <a:themeElements>
    <a:clrScheme name="Daiichi/AZ">
      <a:dk1>
        <a:srgbClr val="000000"/>
      </a:dk1>
      <a:lt1>
        <a:srgbClr val="FFFFFF"/>
      </a:lt1>
      <a:dk2>
        <a:srgbClr val="3F4444"/>
      </a:dk2>
      <a:lt2>
        <a:srgbClr val="C4D600"/>
      </a:lt2>
      <a:accent1>
        <a:srgbClr val="000000"/>
      </a:accent1>
      <a:accent2>
        <a:srgbClr val="003865"/>
      </a:accent2>
      <a:accent3>
        <a:srgbClr val="68D2DF"/>
      </a:accent3>
      <a:accent4>
        <a:srgbClr val="C4D600"/>
      </a:accent4>
      <a:accent5>
        <a:srgbClr val="9DB0AC"/>
      </a:accent5>
      <a:accent6>
        <a:srgbClr val="B6B8BB"/>
      </a:accent6>
      <a:hlink>
        <a:srgbClr val="003865"/>
      </a:hlink>
      <a:folHlink>
        <a:srgbClr val="9DB0AC"/>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20190409 JAMT Meeting Slides.pptx" id="{8346EAE7-3FB0-4D64-AFB3-FB2DA6C3D685}" vid="{B36D977B-3DD2-41F2-9170-C316CCC9DCF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FBF68-B692-4814-949A-F8FA8703F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3369</Words>
  <Characters>19205</Characters>
  <Application>Microsoft Office Word</Application>
  <DocSecurity>0</DocSecurity>
  <Lines>160</Lines>
  <Paragraphs>45</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nic ink, LLC</Company>
  <LinksUpToDate>false</LinksUpToDate>
  <CharactersWithSpaces>22529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Ganz</dc:creator>
  <cp:keywords/>
  <dc:description/>
  <cp:lastModifiedBy>Paolo Cabra - Intermedia</cp:lastModifiedBy>
  <cp:revision>12</cp:revision>
  <dcterms:created xsi:type="dcterms:W3CDTF">2022-12-07T08:13:00Z</dcterms:created>
  <dcterms:modified xsi:type="dcterms:W3CDTF">2022-12-08T09:57:00Z</dcterms:modified>
</cp:coreProperties>
</file>