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E46B" w14:textId="77777777" w:rsidR="007F175C" w:rsidRDefault="007F175C" w:rsidP="007F175C">
      <w:pPr>
        <w:pStyle w:val="ElencoSpuntato"/>
        <w:numPr>
          <w:ilvl w:val="0"/>
          <w:numId w:val="0"/>
        </w:numPr>
        <w:ind w:left="360"/>
        <w:rPr>
          <w:rFonts w:ascii="Cambria" w:hAnsi="Cambria"/>
          <w:b/>
          <w:bCs/>
          <w:color w:val="404040" w:themeColor="text2"/>
          <w:sz w:val="22"/>
          <w:szCs w:val="22"/>
        </w:rPr>
      </w:pPr>
    </w:p>
    <w:p w14:paraId="37FE53DA" w14:textId="45CDD28A" w:rsidR="007F175C" w:rsidRDefault="00A7246C" w:rsidP="00A7246C">
      <w:pPr>
        <w:pStyle w:val="ElencoSpuntato"/>
        <w:numPr>
          <w:ilvl w:val="0"/>
          <w:numId w:val="0"/>
        </w:numPr>
        <w:tabs>
          <w:tab w:val="clear" w:pos="709"/>
          <w:tab w:val="left" w:pos="6480"/>
        </w:tabs>
        <w:ind w:left="360"/>
        <w:rPr>
          <w:rFonts w:ascii="Cambria" w:hAnsi="Cambria"/>
          <w:b/>
          <w:bCs/>
          <w:color w:val="404040" w:themeColor="text2"/>
          <w:sz w:val="22"/>
          <w:szCs w:val="22"/>
        </w:rPr>
      </w:pPr>
      <w:r>
        <w:rPr>
          <w:rFonts w:ascii="Cambria" w:hAnsi="Cambria"/>
          <w:b/>
          <w:bCs/>
          <w:color w:val="404040" w:themeColor="text2"/>
          <w:sz w:val="22"/>
          <w:szCs w:val="22"/>
        </w:rPr>
        <w:tab/>
      </w:r>
    </w:p>
    <w:p w14:paraId="5FB6B032" w14:textId="77777777" w:rsidR="007F175C" w:rsidRDefault="007F175C" w:rsidP="007F175C">
      <w:pPr>
        <w:pStyle w:val="ElencoSpuntato"/>
        <w:numPr>
          <w:ilvl w:val="0"/>
          <w:numId w:val="0"/>
        </w:numPr>
        <w:ind w:left="360"/>
        <w:rPr>
          <w:rFonts w:ascii="Cambria" w:hAnsi="Cambria"/>
          <w:b/>
          <w:bCs/>
          <w:color w:val="404040" w:themeColor="text2"/>
          <w:sz w:val="22"/>
          <w:szCs w:val="22"/>
        </w:rPr>
      </w:pPr>
    </w:p>
    <w:p w14:paraId="4E59AF18" w14:textId="77777777" w:rsidR="007F175C" w:rsidRDefault="007F175C" w:rsidP="007F175C">
      <w:pPr>
        <w:pStyle w:val="ElencoSpuntato"/>
        <w:numPr>
          <w:ilvl w:val="0"/>
          <w:numId w:val="0"/>
        </w:numPr>
        <w:ind w:left="360"/>
        <w:rPr>
          <w:rFonts w:ascii="Cambria" w:hAnsi="Cambria"/>
          <w:b/>
          <w:bCs/>
          <w:color w:val="404040" w:themeColor="text2"/>
          <w:sz w:val="22"/>
          <w:szCs w:val="22"/>
        </w:rPr>
      </w:pPr>
    </w:p>
    <w:p w14:paraId="1F57645A" w14:textId="4D80E052" w:rsidR="007A29CA" w:rsidRDefault="007A29CA" w:rsidP="004E5CB0">
      <w:pPr>
        <w:pStyle w:val="ElencoSpuntato"/>
        <w:numPr>
          <w:ilvl w:val="0"/>
          <w:numId w:val="0"/>
        </w:numPr>
        <w:rPr>
          <w:rFonts w:ascii="Cambria" w:hAnsi="Cambria"/>
          <w:b/>
          <w:bCs/>
          <w:color w:val="E74A21" w:themeColor="accent2"/>
          <w:sz w:val="22"/>
          <w:szCs w:val="22"/>
        </w:rPr>
      </w:pPr>
    </w:p>
    <w:p w14:paraId="642A84D3" w14:textId="4E368717" w:rsidR="005D6491" w:rsidRDefault="005D6491" w:rsidP="004E5CB0">
      <w:pPr>
        <w:pStyle w:val="ElencoSpuntato"/>
        <w:numPr>
          <w:ilvl w:val="0"/>
          <w:numId w:val="0"/>
        </w:numPr>
        <w:rPr>
          <w:rFonts w:ascii="Cambria" w:hAnsi="Cambria"/>
          <w:b/>
          <w:bCs/>
          <w:color w:val="E74A21" w:themeColor="accent2"/>
          <w:sz w:val="22"/>
          <w:szCs w:val="22"/>
        </w:rPr>
      </w:pPr>
    </w:p>
    <w:p w14:paraId="1CE96189" w14:textId="77777777" w:rsidR="005D6491" w:rsidRPr="005068E4" w:rsidRDefault="005D6491" w:rsidP="004E5CB0">
      <w:pPr>
        <w:pStyle w:val="ElencoSpuntato"/>
        <w:numPr>
          <w:ilvl w:val="0"/>
          <w:numId w:val="0"/>
        </w:numPr>
        <w:rPr>
          <w:rFonts w:asciiTheme="majorHAnsi" w:hAnsiTheme="majorHAnsi" w:cstheme="majorHAnsi"/>
          <w:b/>
          <w:bCs/>
          <w:color w:val="000000" w:themeColor="text1"/>
          <w:sz w:val="22"/>
          <w:szCs w:val="22"/>
        </w:rPr>
      </w:pPr>
    </w:p>
    <w:p w14:paraId="69B5E058" w14:textId="77777777" w:rsidR="00CF24C8" w:rsidRDefault="00CF24C8" w:rsidP="006C79BB">
      <w:pPr>
        <w:spacing w:after="160" w:line="256" w:lineRule="auto"/>
        <w:rPr>
          <w:rFonts w:ascii="Arial" w:eastAsia="Times New Roman" w:hAnsi="Arial" w:cs="Arial"/>
          <w:b/>
          <w:bCs/>
          <w:color w:val="auto"/>
          <w:sz w:val="24"/>
          <w:szCs w:val="24"/>
          <w:lang w:val="it-IT" w:eastAsia="it-IT"/>
        </w:rPr>
      </w:pPr>
    </w:p>
    <w:p w14:paraId="016C866F" w14:textId="12472CB6" w:rsidR="00CF24C8" w:rsidRPr="0051016E" w:rsidRDefault="00CF24C8" w:rsidP="00CF24C8">
      <w:pPr>
        <w:rPr>
          <w:rFonts w:asciiTheme="majorHAnsi" w:eastAsiaTheme="majorEastAsia" w:hAnsiTheme="majorHAnsi" w:cstheme="majorBidi"/>
          <w:b/>
          <w:sz w:val="28"/>
          <w:szCs w:val="28"/>
        </w:rPr>
      </w:pPr>
      <w:r w:rsidRPr="0051016E">
        <w:rPr>
          <w:rFonts w:ascii="Arial" w:hAnsi="Arial" w:cs="Arial"/>
          <w:b/>
          <w:bCs/>
          <w:sz w:val="28"/>
          <w:szCs w:val="28"/>
          <w:lang w:val="it-IT"/>
        </w:rPr>
        <w:t>Tumore della mammella in stadio iniziale</w:t>
      </w:r>
      <w:r w:rsidRPr="00CF24C8">
        <w:rPr>
          <w:rFonts w:asciiTheme="majorHAnsi" w:eastAsiaTheme="majorEastAsia" w:hAnsiTheme="majorHAnsi" w:cstheme="majorBidi"/>
          <w:b/>
          <w:bCs/>
          <w:noProof/>
          <w:sz w:val="28"/>
          <w:szCs w:val="28"/>
          <w:lang w:val="it-IT"/>
        </w:rPr>
        <w:t xml:space="preserve">: la nuova analisi dello studio NATALEE rafforza la riduzione del 25% del rischio di recidiva con ribociclib in un'ampia popolazione di pazienti. </w:t>
      </w:r>
    </w:p>
    <w:p w14:paraId="3B6E0A78" w14:textId="77777777" w:rsidR="00CF24C8" w:rsidRPr="006A27D4" w:rsidRDefault="00CF24C8" w:rsidP="00CF24C8">
      <w:pPr>
        <w:rPr>
          <w:i/>
          <w:lang w:val="en-GB"/>
        </w:rPr>
      </w:pPr>
    </w:p>
    <w:p w14:paraId="079475A4" w14:textId="77777777" w:rsidR="00CF24C8" w:rsidRPr="00CF24C8" w:rsidRDefault="00CF24C8" w:rsidP="00CF24C8">
      <w:pPr>
        <w:pStyle w:val="Paragrafoelenco"/>
        <w:numPr>
          <w:ilvl w:val="0"/>
          <w:numId w:val="42"/>
        </w:numPr>
        <w:rPr>
          <w:i/>
          <w:iCs/>
          <w:color w:val="FF0000"/>
          <w:lang w:val="it-IT"/>
        </w:rPr>
      </w:pPr>
      <w:r w:rsidRPr="00CF24C8">
        <w:rPr>
          <w:rFonts w:ascii="Arial" w:eastAsia="Arial" w:hAnsi="Arial" w:cs="Arial"/>
          <w:i/>
          <w:iCs/>
          <w:sz w:val="22"/>
          <w:szCs w:val="22"/>
          <w:lang w:val="it-IT"/>
        </w:rPr>
        <w:t xml:space="preserve">Con un follow-up aggiuntivo di 5,6 mesi e il 78% dei pazienti che hanno completato il trattamento sperimentale con ribociclib, l’aggiornamento dell’analisi mostra un beneficio sostenuto di </w:t>
      </w:r>
      <w:r w:rsidRPr="00CF24C8">
        <w:rPr>
          <w:rFonts w:asciiTheme="majorHAnsi" w:hAnsiTheme="majorHAnsi" w:cstheme="majorHAnsi"/>
          <w:i/>
          <w:iCs/>
          <w:sz w:val="22"/>
          <w:szCs w:val="22"/>
          <w:lang w:val="it-IT"/>
        </w:rPr>
        <w:t xml:space="preserve">sopravvivenza libera da malattia invasiva </w:t>
      </w:r>
      <w:r w:rsidRPr="00CF24C8">
        <w:rPr>
          <w:rFonts w:asciiTheme="majorHAnsi" w:hAnsiTheme="majorHAnsi" w:cstheme="majorHAnsi"/>
          <w:lang w:val="it-IT"/>
        </w:rPr>
        <w:t>(</w:t>
      </w:r>
      <w:r w:rsidRPr="00CF24C8">
        <w:rPr>
          <w:rFonts w:asciiTheme="majorHAnsi" w:eastAsia="Arial" w:hAnsiTheme="majorHAnsi" w:cstheme="majorHAnsi"/>
          <w:i/>
          <w:iCs/>
          <w:sz w:val="22"/>
          <w:szCs w:val="22"/>
          <w:lang w:val="it-IT"/>
        </w:rPr>
        <w:t xml:space="preserve">iDFS) </w:t>
      </w:r>
      <w:bookmarkStart w:id="0" w:name="_Hlk149036833"/>
      <w:r w:rsidRPr="00CF24C8">
        <w:rPr>
          <w:rFonts w:ascii="Arial" w:eastAsia="Arial" w:hAnsi="Arial" w:cs="Arial"/>
          <w:i/>
          <w:iCs/>
          <w:sz w:val="22"/>
          <w:szCs w:val="22"/>
          <w:lang w:val="it-IT"/>
        </w:rPr>
        <w:t>e</w:t>
      </w:r>
      <w:r w:rsidRPr="00CF24C8">
        <w:rPr>
          <w:lang w:val="it-IT"/>
        </w:rPr>
        <w:t xml:space="preserve"> </w:t>
      </w:r>
      <w:r w:rsidRPr="00CF24C8">
        <w:rPr>
          <w:rFonts w:ascii="Arial" w:eastAsia="Arial" w:hAnsi="Arial" w:cs="Arial"/>
          <w:i/>
          <w:iCs/>
          <w:sz w:val="22"/>
          <w:szCs w:val="22"/>
          <w:lang w:val="it-IT"/>
        </w:rPr>
        <w:t>stabilità negli endpoint secondari, tra cui la sopravvivenza globale</w:t>
      </w:r>
      <w:r w:rsidRPr="00CF24C8">
        <w:rPr>
          <w:i/>
          <w:iCs/>
          <w:sz w:val="22"/>
          <w:szCs w:val="22"/>
          <w:vertAlign w:val="superscript"/>
          <w:lang w:val="it-IT"/>
        </w:rPr>
        <w:t>1,2</w:t>
      </w:r>
    </w:p>
    <w:p w14:paraId="6571BD90" w14:textId="77777777" w:rsidR="00CF24C8" w:rsidRPr="00CF24C8" w:rsidRDefault="00CF24C8" w:rsidP="00CF24C8">
      <w:pPr>
        <w:rPr>
          <w:i/>
          <w:iCs/>
          <w:sz w:val="22"/>
          <w:szCs w:val="22"/>
          <w:lang w:val="it-IT"/>
        </w:rPr>
      </w:pPr>
    </w:p>
    <w:p w14:paraId="578224DD" w14:textId="77777777" w:rsidR="00CF24C8" w:rsidRPr="00CF24C8" w:rsidRDefault="00CF24C8" w:rsidP="00CF24C8">
      <w:pPr>
        <w:pStyle w:val="Paragrafoelenco"/>
        <w:numPr>
          <w:ilvl w:val="0"/>
          <w:numId w:val="42"/>
        </w:numPr>
        <w:rPr>
          <w:i/>
          <w:iCs/>
          <w:sz w:val="22"/>
          <w:szCs w:val="22"/>
          <w:lang w:val="it-IT"/>
        </w:rPr>
      </w:pPr>
      <w:r w:rsidRPr="00CF24C8">
        <w:rPr>
          <w:i/>
          <w:iCs/>
          <w:sz w:val="22"/>
          <w:szCs w:val="22"/>
          <w:lang w:val="it-IT"/>
        </w:rPr>
        <w:t>Il beneficio di iDFS rimane costante nei principali sottogruppi di pazienti; nei pazienti con tumore di stadio II e III ribociclib ha ridotto il rischio del 30% e del 24%, rispettivamente</w:t>
      </w:r>
      <w:r w:rsidRPr="00CF24C8">
        <w:rPr>
          <w:i/>
          <w:iCs/>
          <w:sz w:val="22"/>
          <w:szCs w:val="22"/>
          <w:vertAlign w:val="superscript"/>
          <w:lang w:val="it-IT"/>
        </w:rPr>
        <w:t>1,2</w:t>
      </w:r>
      <w:r w:rsidRPr="00CF24C8" w:rsidDel="00244723">
        <w:rPr>
          <w:i/>
          <w:iCs/>
          <w:sz w:val="22"/>
          <w:szCs w:val="22"/>
          <w:vertAlign w:val="superscript"/>
          <w:lang w:val="it-IT"/>
        </w:rPr>
        <w:t xml:space="preserve"> </w:t>
      </w:r>
      <w:r w:rsidRPr="00CF24C8">
        <w:rPr>
          <w:i/>
          <w:iCs/>
          <w:sz w:val="22"/>
          <w:szCs w:val="22"/>
          <w:vertAlign w:val="superscript"/>
          <w:lang w:val="it-IT"/>
        </w:rPr>
        <w:t xml:space="preserve"> </w:t>
      </w:r>
    </w:p>
    <w:p w14:paraId="36CD0D2D" w14:textId="77777777" w:rsidR="00CF24C8" w:rsidRPr="00CF24C8" w:rsidRDefault="00CF24C8" w:rsidP="00CF24C8">
      <w:pPr>
        <w:pStyle w:val="Paragrafoelenco"/>
        <w:rPr>
          <w:i/>
          <w:iCs/>
          <w:sz w:val="22"/>
          <w:szCs w:val="22"/>
          <w:lang w:val="it-IT"/>
        </w:rPr>
      </w:pPr>
    </w:p>
    <w:p w14:paraId="737F377C" w14:textId="77777777" w:rsidR="00CF24C8" w:rsidRPr="00CF24C8" w:rsidRDefault="00CF24C8" w:rsidP="00CF24C8">
      <w:pPr>
        <w:pStyle w:val="Paragrafoelenco"/>
        <w:numPr>
          <w:ilvl w:val="0"/>
          <w:numId w:val="42"/>
        </w:numPr>
        <w:rPr>
          <w:lang w:val="it-IT"/>
        </w:rPr>
      </w:pPr>
      <w:r w:rsidRPr="00CF24C8">
        <w:rPr>
          <w:i/>
          <w:iCs/>
          <w:sz w:val="22"/>
          <w:szCs w:val="22"/>
          <w:lang w:val="it-IT"/>
        </w:rPr>
        <w:t>Profilo di sicurezza in linea con i risultati riportati precedentemente e qualità di vita preservata nei pazienti trattati con ribociclib rispetto alla sola terapia endocrina (ET)</w:t>
      </w:r>
      <w:r w:rsidRPr="00CF24C8">
        <w:rPr>
          <w:i/>
          <w:iCs/>
          <w:sz w:val="22"/>
          <w:szCs w:val="22"/>
          <w:vertAlign w:val="superscript"/>
          <w:lang w:val="it-IT"/>
        </w:rPr>
        <w:t xml:space="preserve">1,2,3 </w:t>
      </w:r>
    </w:p>
    <w:p w14:paraId="72807C77" w14:textId="77777777" w:rsidR="00CF24C8" w:rsidRPr="00CF24C8" w:rsidRDefault="00CF24C8" w:rsidP="00CF24C8">
      <w:pPr>
        <w:pStyle w:val="Paragrafoelenco"/>
        <w:rPr>
          <w:i/>
          <w:iCs/>
          <w:sz w:val="22"/>
          <w:szCs w:val="22"/>
          <w:lang w:val="it-IT"/>
        </w:rPr>
      </w:pPr>
    </w:p>
    <w:p w14:paraId="4633DB24" w14:textId="77777777" w:rsidR="00CF24C8" w:rsidRPr="00F62947" w:rsidRDefault="00CF24C8" w:rsidP="00CF24C8">
      <w:pPr>
        <w:pStyle w:val="Paragrafoelenco"/>
        <w:numPr>
          <w:ilvl w:val="0"/>
          <w:numId w:val="42"/>
        </w:numPr>
        <w:rPr>
          <w:lang w:val="it-IT"/>
        </w:rPr>
      </w:pPr>
      <w:r w:rsidRPr="00F62947">
        <w:rPr>
          <w:i/>
          <w:iCs/>
          <w:sz w:val="22"/>
          <w:szCs w:val="22"/>
          <w:lang w:val="it-IT"/>
        </w:rPr>
        <w:t>Il rischio di recidiva resta un problema a breve e lungo termine; una donna su otto trattata con la sola ET nello studio NATALEE rischia di sviluppare malattia invasiva a 3 anni</w:t>
      </w:r>
      <w:r w:rsidRPr="00F62947">
        <w:rPr>
          <w:i/>
          <w:iCs/>
          <w:sz w:val="22"/>
          <w:szCs w:val="22"/>
          <w:vertAlign w:val="superscript"/>
          <w:lang w:val="it-IT"/>
        </w:rPr>
        <w:t>1,2</w:t>
      </w:r>
    </w:p>
    <w:p w14:paraId="4E6ABBEF" w14:textId="77777777" w:rsidR="00CF24C8" w:rsidRPr="00F62947" w:rsidRDefault="00CF24C8" w:rsidP="00CF24C8">
      <w:pPr>
        <w:rPr>
          <w:lang w:val="it-IT"/>
        </w:rPr>
      </w:pPr>
    </w:p>
    <w:p w14:paraId="6FB8A114" w14:textId="77777777" w:rsidR="00CF24C8" w:rsidRPr="00F62947" w:rsidRDefault="00CF24C8" w:rsidP="00CF24C8">
      <w:pPr>
        <w:pStyle w:val="Paragrafoelenco"/>
        <w:numPr>
          <w:ilvl w:val="0"/>
          <w:numId w:val="42"/>
        </w:numPr>
        <w:rPr>
          <w:i/>
          <w:iCs/>
          <w:sz w:val="22"/>
          <w:szCs w:val="22"/>
          <w:lang w:val="it-IT"/>
        </w:rPr>
      </w:pPr>
      <w:r w:rsidRPr="00F62947">
        <w:rPr>
          <w:i/>
          <w:iCs/>
          <w:sz w:val="22"/>
          <w:szCs w:val="22"/>
          <w:lang w:val="it-IT"/>
        </w:rPr>
        <w:t>Novartis ha presentato le richieste a EMA e invierà gli ultimi dati a FDA entro la fine dell’anno</w:t>
      </w:r>
      <w:bookmarkEnd w:id="0"/>
    </w:p>
    <w:p w14:paraId="190873A1" w14:textId="77777777" w:rsidR="00CF24C8" w:rsidRPr="00F62947" w:rsidRDefault="00CF24C8" w:rsidP="00CF24C8">
      <w:pPr>
        <w:rPr>
          <w:i/>
          <w:iCs/>
          <w:sz w:val="22"/>
          <w:szCs w:val="22"/>
          <w:lang w:val="it-IT"/>
        </w:rPr>
      </w:pPr>
    </w:p>
    <w:p w14:paraId="7448A899" w14:textId="76AFDDD2" w:rsidR="00CF24C8" w:rsidRPr="00CF24C8" w:rsidRDefault="00CF24C8" w:rsidP="00CF24C8">
      <w:pPr>
        <w:jc w:val="both"/>
        <w:rPr>
          <w:lang w:val="it-IT"/>
        </w:rPr>
      </w:pPr>
      <w:r>
        <w:rPr>
          <w:b/>
          <w:bCs/>
          <w:lang w:val="it-IT"/>
        </w:rPr>
        <w:t>Milano</w:t>
      </w:r>
      <w:r w:rsidRPr="00F62947">
        <w:rPr>
          <w:b/>
          <w:bCs/>
          <w:lang w:val="it-IT"/>
        </w:rPr>
        <w:t xml:space="preserve">, </w:t>
      </w:r>
      <w:r>
        <w:rPr>
          <w:b/>
          <w:bCs/>
          <w:lang w:val="it-IT"/>
        </w:rPr>
        <w:t>11</w:t>
      </w:r>
      <w:r w:rsidRPr="00F62947">
        <w:rPr>
          <w:b/>
          <w:bCs/>
          <w:lang w:val="it-IT"/>
        </w:rPr>
        <w:t xml:space="preserve"> dicembre 2023</w:t>
      </w:r>
      <w:r w:rsidRPr="00F62947">
        <w:rPr>
          <w:lang w:val="it-IT"/>
        </w:rPr>
        <w:t xml:space="preserve"> — </w:t>
      </w:r>
      <w:r w:rsidRPr="00CF24C8">
        <w:rPr>
          <w:lang w:val="it-IT"/>
        </w:rPr>
        <w:t>L’aggiunta della terapia mirata con ribociclib allo standard di cura costituito dalla ormonoterapia riduce del 25% il rischio di recidiva nel tumore della mammella in stadio precoce. Lo dimostrano i risultati positivi dell’analisi aggiornata di sopravvivenza libera da malattia invasiva (iDFS) dello studio registrativo di Fase III NATALEE, con un follow-up mediano di 33,3 mesi dopo il completamento del trattamento con ribociclib da parte del 78% dei pazienti. I risultati rafforzano la riduzione del 25% (HR=0,749; 95% CI: 0,628-0,892; p=0,0006) del rischio di recidiva, già riscontrata alla precedente analisi ad interim nei pazienti con tumore della mammella in fase iniziale (EBC) in stadio II e III, positivo per i recettori ormonali e negativo per il recettore 2 del fattore umano di crescita epidermica (HR+/HER2-) trattati con ribociclib adiuvante più un inibitore dell’aromat</w:t>
      </w:r>
      <w:r w:rsidR="00555D18">
        <w:rPr>
          <w:lang w:val="it-IT"/>
        </w:rPr>
        <w:t>a</w:t>
      </w:r>
      <w:r w:rsidRPr="00CF24C8">
        <w:rPr>
          <w:lang w:val="it-IT"/>
        </w:rPr>
        <w:t>si non steroideo come terapia endocrina (ET) standard rispetto alla sola ET</w:t>
      </w:r>
      <w:r w:rsidRPr="00CF24C8">
        <w:rPr>
          <w:vertAlign w:val="superscript"/>
          <w:lang w:val="it-IT"/>
        </w:rPr>
        <w:t>1,2</w:t>
      </w:r>
      <w:r w:rsidRPr="00CF24C8">
        <w:rPr>
          <w:lang w:val="it-IT"/>
        </w:rPr>
        <w:t>.</w:t>
      </w:r>
      <w:r w:rsidRPr="00CF24C8">
        <w:rPr>
          <w:color w:val="FF0000"/>
          <w:lang w:val="it-IT"/>
        </w:rPr>
        <w:t xml:space="preserve"> </w:t>
      </w:r>
      <w:r w:rsidRPr="00CF24C8">
        <w:rPr>
          <w:lang w:val="it-IT"/>
        </w:rPr>
        <w:t>I dati più recenti</w:t>
      </w:r>
      <w:r w:rsidRPr="00CF24C8">
        <w:rPr>
          <w:color w:val="FF0000"/>
          <w:lang w:val="it-IT"/>
        </w:rPr>
        <w:t xml:space="preserve"> </w:t>
      </w:r>
      <w:r w:rsidRPr="00CF24C8">
        <w:rPr>
          <w:lang w:val="it-IT"/>
        </w:rPr>
        <w:t>di questa analisi sono stati presentati al congresso 2023 San Antonio Breast Cancer Symposium (SABCS).</w:t>
      </w:r>
    </w:p>
    <w:p w14:paraId="2278EFDE" w14:textId="77777777" w:rsidR="00CF24C8" w:rsidRPr="00CF24C8" w:rsidRDefault="00CF24C8" w:rsidP="00CF24C8">
      <w:pPr>
        <w:pStyle w:val="Default"/>
        <w:rPr>
          <w:rFonts w:asciiTheme="minorHAnsi" w:eastAsiaTheme="minorEastAsia" w:hAnsiTheme="minorHAnsi" w:cstheme="minorBidi"/>
          <w:color w:val="auto"/>
          <w:sz w:val="20"/>
          <w:szCs w:val="20"/>
          <w:lang w:val="it-IT"/>
        </w:rPr>
      </w:pPr>
    </w:p>
    <w:p w14:paraId="1496DBE9" w14:textId="77B541B0" w:rsidR="00CF24C8" w:rsidRPr="00CF24C8" w:rsidRDefault="00CF24C8" w:rsidP="00CF24C8">
      <w:pPr>
        <w:pStyle w:val="Default"/>
        <w:jc w:val="both"/>
        <w:rPr>
          <w:rFonts w:asciiTheme="majorHAnsi" w:hAnsiTheme="majorHAnsi" w:cstheme="majorHAnsi"/>
          <w:sz w:val="20"/>
          <w:szCs w:val="20"/>
          <w:lang w:val="it-IT"/>
        </w:rPr>
      </w:pPr>
      <w:r w:rsidRPr="00CF24C8">
        <w:rPr>
          <w:rFonts w:cstheme="minorHAnsi"/>
          <w:sz w:val="20"/>
          <w:szCs w:val="20"/>
          <w:lang w:val="it-IT"/>
        </w:rPr>
        <w:t xml:space="preserve">“Nel 2022, in Italia, sono stati stimati 55.700 nuovi casi di carcinoma della mammella, il più frequente in tutta la popolazione – spiega </w:t>
      </w:r>
      <w:r w:rsidRPr="00CF24C8">
        <w:rPr>
          <w:rFonts w:cstheme="minorHAnsi"/>
          <w:b/>
          <w:bCs/>
          <w:sz w:val="20"/>
          <w:szCs w:val="20"/>
          <w:lang w:val="it-IT"/>
        </w:rPr>
        <w:t xml:space="preserve">Michelino De Laurentiis, </w:t>
      </w:r>
      <w:r w:rsidRPr="00CF24C8">
        <w:rPr>
          <w:rFonts w:eastAsia="Times New Roman" w:cstheme="minorHAnsi"/>
          <w:iCs/>
          <w:sz w:val="20"/>
          <w:szCs w:val="20"/>
          <w:shd w:val="clear" w:color="auto" w:fill="FFFFFF"/>
          <w:lang w:val="it-IT" w:eastAsia="it-IT"/>
        </w:rPr>
        <w:t>Direttore del Dipartimento di Oncologia Senologica e Tor</w:t>
      </w:r>
      <w:r w:rsidR="00555D18">
        <w:rPr>
          <w:rFonts w:eastAsia="Times New Roman" w:cstheme="minorHAnsi"/>
          <w:iCs/>
          <w:sz w:val="20"/>
          <w:szCs w:val="20"/>
          <w:shd w:val="clear" w:color="auto" w:fill="FFFFFF"/>
          <w:lang w:val="it-IT" w:eastAsia="it-IT"/>
        </w:rPr>
        <w:t>a</w:t>
      </w:r>
      <w:r w:rsidRPr="00CF24C8">
        <w:rPr>
          <w:rFonts w:eastAsia="Times New Roman" w:cstheme="minorHAnsi"/>
          <w:iCs/>
          <w:sz w:val="20"/>
          <w:szCs w:val="20"/>
          <w:shd w:val="clear" w:color="auto" w:fill="FFFFFF"/>
          <w:lang w:val="it-IT" w:eastAsia="it-IT"/>
        </w:rPr>
        <w:t xml:space="preserve">co-Polmonare, </w:t>
      </w:r>
      <w:r w:rsidRPr="00CF24C8">
        <w:rPr>
          <w:rFonts w:eastAsia="Calibri" w:cstheme="minorHAnsi"/>
          <w:sz w:val="20"/>
          <w:szCs w:val="20"/>
          <w:lang w:val="it-IT"/>
        </w:rPr>
        <w:t xml:space="preserve">Istituto Nazionale Tumori IRCCS Fondazione ‘G. Pascale’ di Napoli -. </w:t>
      </w:r>
      <w:r w:rsidRPr="00CF24C8">
        <w:rPr>
          <w:rFonts w:asciiTheme="majorHAnsi" w:hAnsiTheme="majorHAnsi" w:cstheme="majorHAnsi"/>
          <w:sz w:val="20"/>
          <w:szCs w:val="20"/>
          <w:lang w:val="it-IT"/>
        </w:rPr>
        <w:t>Circa il 70% delle donne presenta un carcinoma mammario con recettori ormonali positivi e HER2 negativo</w:t>
      </w:r>
      <w:r w:rsidRPr="00CF24C8">
        <w:rPr>
          <w:rFonts w:asciiTheme="majorHAnsi" w:eastAsia="Calibri" w:hAnsiTheme="majorHAnsi" w:cstheme="majorHAnsi"/>
          <w:sz w:val="20"/>
          <w:szCs w:val="20"/>
          <w:lang w:val="it-IT"/>
        </w:rPr>
        <w:t xml:space="preserve">. </w:t>
      </w:r>
      <w:r w:rsidRPr="00CF24C8">
        <w:rPr>
          <w:rFonts w:asciiTheme="majorHAnsi" w:hAnsiTheme="majorHAnsi" w:cstheme="majorHAnsi"/>
          <w:color w:val="000000" w:themeColor="text1"/>
          <w:sz w:val="20"/>
          <w:szCs w:val="20"/>
          <w:lang w:val="it-IT"/>
        </w:rPr>
        <w:t xml:space="preserve">I risultati aggiornati dello studio NATALEE consolidano e rafforzano il dato sulla riduzione del 25% del rischio di recidiva con ribociclib, evidenziato da precedenti analisi. Si </w:t>
      </w:r>
      <w:r w:rsidRPr="00CF24C8">
        <w:rPr>
          <w:rFonts w:asciiTheme="majorHAnsi" w:hAnsiTheme="majorHAnsi" w:cstheme="majorHAnsi"/>
          <w:sz w:val="20"/>
          <w:szCs w:val="20"/>
          <w:lang w:val="it-IT"/>
        </w:rPr>
        <w:t xml:space="preserve">aprono pertanto nuove prospettive per le pazienti con tumore mammario </w:t>
      </w:r>
      <w:r w:rsidRPr="00CF24C8">
        <w:rPr>
          <w:rFonts w:asciiTheme="majorHAnsi" w:hAnsiTheme="majorHAnsi" w:cstheme="majorHAnsi"/>
          <w:sz w:val="20"/>
          <w:szCs w:val="20"/>
          <w:lang w:val="it-IT"/>
        </w:rPr>
        <w:lastRenderedPageBreak/>
        <w:t>in fase precoce ormonosensibile, perché viene dimostatata l’importanza del trattamento adiuvante aggiuntivo con riboci</w:t>
      </w:r>
      <w:r w:rsidR="008C35ED">
        <w:rPr>
          <w:rFonts w:asciiTheme="majorHAnsi" w:hAnsiTheme="majorHAnsi" w:cstheme="majorHAnsi"/>
          <w:sz w:val="20"/>
          <w:szCs w:val="20"/>
          <w:lang w:val="it-IT"/>
        </w:rPr>
        <w:t>c</w:t>
      </w:r>
      <w:r w:rsidRPr="00CF24C8">
        <w:rPr>
          <w:rFonts w:asciiTheme="majorHAnsi" w:hAnsiTheme="majorHAnsi" w:cstheme="majorHAnsi"/>
          <w:sz w:val="20"/>
          <w:szCs w:val="20"/>
          <w:lang w:val="it-IT"/>
        </w:rPr>
        <w:t xml:space="preserve">lib in un’ampia popolazione di pazienti, cioè con rischio di recidiva da moderato ad alto. </w:t>
      </w:r>
      <w:bookmarkStart w:id="1" w:name="_Hlk152252392"/>
      <w:r w:rsidRPr="00CF24C8">
        <w:rPr>
          <w:rFonts w:eastAsia="Times New Roman" w:cstheme="minorHAnsi"/>
          <w:iCs/>
          <w:sz w:val="20"/>
          <w:szCs w:val="20"/>
          <w:shd w:val="clear" w:color="auto" w:fill="FFFFFF"/>
          <w:lang w:val="it-IT" w:eastAsia="it-IT"/>
        </w:rPr>
        <w:t xml:space="preserve">Ricordiamo infatti che la malattia si ripresenta in un terzo dei casi inizialmente in stadio </w:t>
      </w:r>
      <w:r w:rsidR="000A6AB8">
        <w:rPr>
          <w:rFonts w:eastAsia="Times New Roman" w:cstheme="minorHAnsi"/>
          <w:iCs/>
          <w:sz w:val="20"/>
          <w:szCs w:val="20"/>
          <w:shd w:val="clear" w:color="auto" w:fill="FFFFFF"/>
          <w:lang w:val="it-IT" w:eastAsia="it-IT"/>
        </w:rPr>
        <w:t>II</w:t>
      </w:r>
      <w:r w:rsidRPr="00CF24C8">
        <w:rPr>
          <w:rFonts w:eastAsia="Times New Roman" w:cstheme="minorHAnsi"/>
          <w:iCs/>
          <w:sz w:val="20"/>
          <w:szCs w:val="20"/>
          <w:shd w:val="clear" w:color="auto" w:fill="FFFFFF"/>
          <w:lang w:val="it-IT" w:eastAsia="it-IT"/>
        </w:rPr>
        <w:t xml:space="preserve"> e nella metà di quelli esorditi in stadio III.</w:t>
      </w:r>
      <w:bookmarkEnd w:id="1"/>
      <w:r w:rsidRPr="00CF24C8">
        <w:rPr>
          <w:rFonts w:asciiTheme="majorHAnsi" w:hAnsiTheme="majorHAnsi" w:cstheme="majorHAnsi"/>
          <w:sz w:val="20"/>
          <w:szCs w:val="20"/>
          <w:lang w:val="it-IT"/>
        </w:rPr>
        <w:t xml:space="preserve"> Ribociclib ha ridotto il rischio di recidiva del 30% nei pazienti con tumore di stadio II e del 24% in quelli di stadio III. </w:t>
      </w:r>
      <w:r w:rsidRPr="00CF24C8">
        <w:rPr>
          <w:rFonts w:cstheme="minorHAnsi"/>
          <w:sz w:val="20"/>
          <w:szCs w:val="20"/>
          <w:lang w:val="it-IT"/>
        </w:rPr>
        <w:t>Ci auguriamo che la disponibilità della terapia avvenga quanto prima, perché potremo offrire un’opportunità terapeutica efficace e ben tollerata a una grande platea di persone”.</w:t>
      </w:r>
    </w:p>
    <w:p w14:paraId="7A7F3F53" w14:textId="77777777" w:rsidR="00CF24C8" w:rsidRPr="00CF24C8" w:rsidRDefault="00CF24C8" w:rsidP="00CF24C8">
      <w:pPr>
        <w:pStyle w:val="Default"/>
        <w:rPr>
          <w:rFonts w:asciiTheme="minorHAnsi" w:eastAsiaTheme="minorEastAsia" w:hAnsiTheme="minorHAnsi" w:cstheme="minorBidi"/>
          <w:color w:val="auto"/>
          <w:sz w:val="20"/>
          <w:szCs w:val="20"/>
          <w:lang w:val="it-IT"/>
        </w:rPr>
      </w:pPr>
    </w:p>
    <w:p w14:paraId="7EAD5081" w14:textId="149B5685" w:rsidR="00CF24C8" w:rsidRPr="00CF24C8" w:rsidRDefault="00CF24C8" w:rsidP="00CF24C8">
      <w:pPr>
        <w:pStyle w:val="Default"/>
        <w:jc w:val="both"/>
        <w:rPr>
          <w:rFonts w:eastAsiaTheme="minorEastAsia"/>
          <w:color w:val="auto"/>
          <w:lang w:val="it-IT"/>
        </w:rPr>
      </w:pPr>
      <w:r w:rsidRPr="00CF24C8">
        <w:rPr>
          <w:rFonts w:asciiTheme="minorHAnsi" w:eastAsiaTheme="minorEastAsia" w:hAnsiTheme="minorHAnsi" w:cstheme="minorBidi"/>
          <w:color w:val="auto"/>
          <w:sz w:val="20"/>
          <w:szCs w:val="20"/>
          <w:lang w:val="it-IT"/>
        </w:rPr>
        <w:t xml:space="preserve">“Da medici, sappiamo che </w:t>
      </w:r>
      <w:r w:rsidR="00915347">
        <w:rPr>
          <w:rFonts w:asciiTheme="minorHAnsi" w:eastAsiaTheme="minorEastAsia" w:hAnsiTheme="minorHAnsi" w:cstheme="minorBidi"/>
          <w:color w:val="auto"/>
          <w:sz w:val="20"/>
          <w:szCs w:val="20"/>
          <w:lang w:val="it-IT"/>
        </w:rPr>
        <w:t>le</w:t>
      </w:r>
      <w:r w:rsidRPr="00CF24C8">
        <w:rPr>
          <w:rFonts w:asciiTheme="minorHAnsi" w:eastAsiaTheme="minorEastAsia" w:hAnsiTheme="minorHAnsi" w:cstheme="minorBidi"/>
          <w:color w:val="auto"/>
          <w:sz w:val="20"/>
          <w:szCs w:val="20"/>
          <w:lang w:val="it-IT"/>
        </w:rPr>
        <w:t xml:space="preserve"> pazienti con tumore della mammella in fase iniziale HR+/HER2- sono a rischio di recidiva per decenni, nonostante la terapia endocrina adiuvante. Inoltre, il rischio reale osservato ne</w:t>
      </w:r>
      <w:r w:rsidR="00915347">
        <w:rPr>
          <w:rFonts w:asciiTheme="minorHAnsi" w:eastAsiaTheme="minorEastAsia" w:hAnsiTheme="minorHAnsi" w:cstheme="minorBidi"/>
          <w:color w:val="auto"/>
          <w:sz w:val="20"/>
          <w:szCs w:val="20"/>
          <w:lang w:val="it-IT"/>
        </w:rPr>
        <w:t>lle</w:t>
      </w:r>
      <w:r w:rsidRPr="00CF24C8">
        <w:rPr>
          <w:rFonts w:asciiTheme="minorHAnsi" w:eastAsiaTheme="minorEastAsia" w:hAnsiTheme="minorHAnsi" w:cstheme="minorBidi"/>
          <w:color w:val="auto"/>
          <w:sz w:val="20"/>
          <w:szCs w:val="20"/>
          <w:lang w:val="it-IT"/>
        </w:rPr>
        <w:t xml:space="preserve"> pazienti trattat</w:t>
      </w:r>
      <w:r w:rsidR="00287561">
        <w:rPr>
          <w:rFonts w:asciiTheme="minorHAnsi" w:eastAsiaTheme="minorEastAsia" w:hAnsiTheme="minorHAnsi" w:cstheme="minorBidi"/>
          <w:color w:val="auto"/>
          <w:sz w:val="20"/>
          <w:szCs w:val="20"/>
          <w:lang w:val="it-IT"/>
        </w:rPr>
        <w:t>e</w:t>
      </w:r>
      <w:r w:rsidRPr="00CF24C8">
        <w:rPr>
          <w:rFonts w:asciiTheme="minorHAnsi" w:eastAsiaTheme="minorEastAsia" w:hAnsiTheme="minorHAnsi" w:cstheme="minorBidi"/>
          <w:color w:val="auto"/>
          <w:sz w:val="20"/>
          <w:szCs w:val="20"/>
          <w:lang w:val="it-IT"/>
        </w:rPr>
        <w:t xml:space="preserve"> con la sola terapia endocrina, compres</w:t>
      </w:r>
      <w:r w:rsidR="00287561">
        <w:rPr>
          <w:rFonts w:asciiTheme="minorHAnsi" w:eastAsiaTheme="minorEastAsia" w:hAnsiTheme="minorHAnsi" w:cstheme="minorBidi"/>
          <w:color w:val="auto"/>
          <w:sz w:val="20"/>
          <w:szCs w:val="20"/>
          <w:lang w:val="it-IT"/>
        </w:rPr>
        <w:t>e</w:t>
      </w:r>
      <w:r w:rsidRPr="00CF24C8">
        <w:rPr>
          <w:rFonts w:asciiTheme="minorHAnsi" w:eastAsiaTheme="minorEastAsia" w:hAnsiTheme="minorHAnsi" w:cstheme="minorBidi"/>
          <w:color w:val="auto"/>
          <w:sz w:val="20"/>
          <w:szCs w:val="20"/>
          <w:lang w:val="it-IT"/>
        </w:rPr>
        <w:t xml:space="preserve"> quell</w:t>
      </w:r>
      <w:r w:rsidR="00287561">
        <w:rPr>
          <w:rFonts w:asciiTheme="minorHAnsi" w:eastAsiaTheme="minorEastAsia" w:hAnsiTheme="minorHAnsi" w:cstheme="minorBidi"/>
          <w:color w:val="auto"/>
          <w:sz w:val="20"/>
          <w:szCs w:val="20"/>
          <w:lang w:val="it-IT"/>
        </w:rPr>
        <w:t>e</w:t>
      </w:r>
      <w:r w:rsidRPr="00CF24C8">
        <w:rPr>
          <w:rFonts w:asciiTheme="minorHAnsi" w:eastAsiaTheme="minorEastAsia" w:hAnsiTheme="minorHAnsi" w:cstheme="minorBidi"/>
          <w:color w:val="auto"/>
          <w:sz w:val="20"/>
          <w:szCs w:val="20"/>
          <w:lang w:val="it-IT"/>
        </w:rPr>
        <w:t xml:space="preserve"> con malattia con linfonodi negativi, evidenzia la necessità di opzioni terapeutiche efficaci e tollerabili che possano aiutare a mantenere </w:t>
      </w:r>
      <w:r w:rsidR="00287561">
        <w:rPr>
          <w:rFonts w:asciiTheme="minorHAnsi" w:eastAsiaTheme="minorEastAsia" w:hAnsiTheme="minorHAnsi" w:cstheme="minorBidi"/>
          <w:color w:val="auto"/>
          <w:sz w:val="20"/>
          <w:szCs w:val="20"/>
          <w:lang w:val="it-IT"/>
        </w:rPr>
        <w:t>le</w:t>
      </w:r>
      <w:r w:rsidRPr="00CF24C8">
        <w:rPr>
          <w:rFonts w:asciiTheme="minorHAnsi" w:eastAsiaTheme="minorEastAsia" w:hAnsiTheme="minorHAnsi" w:cstheme="minorBidi"/>
          <w:color w:val="auto"/>
          <w:sz w:val="20"/>
          <w:szCs w:val="20"/>
          <w:lang w:val="it-IT"/>
        </w:rPr>
        <w:t xml:space="preserve"> pazienti liber</w:t>
      </w:r>
      <w:r w:rsidR="00287561">
        <w:rPr>
          <w:rFonts w:asciiTheme="minorHAnsi" w:eastAsiaTheme="minorEastAsia" w:hAnsiTheme="minorHAnsi" w:cstheme="minorBidi"/>
          <w:color w:val="auto"/>
          <w:sz w:val="20"/>
          <w:szCs w:val="20"/>
          <w:lang w:val="it-IT"/>
        </w:rPr>
        <w:t>e</w:t>
      </w:r>
      <w:r w:rsidRPr="00CF24C8">
        <w:rPr>
          <w:rFonts w:asciiTheme="minorHAnsi" w:eastAsiaTheme="minorEastAsia" w:hAnsiTheme="minorHAnsi" w:cstheme="minorBidi"/>
          <w:color w:val="auto"/>
          <w:sz w:val="20"/>
          <w:szCs w:val="20"/>
          <w:lang w:val="it-IT"/>
        </w:rPr>
        <w:t xml:space="preserve"> dal tumore nel breve e lungo termine”, afferma Gabriel N. Hortobagyi, MD, FACP, Professor of Breast Medical Oncology alla The University of Texas MD Anderson Cancer Center. “I risultati aggiornati di NATALEE rafforzano il potenziale di ribociclib di contribuire a rispondere a queste esigenze per una più ampia popolazione a rischio, senza ulteriori ripercussioni sulla qualità di vita dei pazienti, rispetto alla sola terapia endocrina”.</w:t>
      </w:r>
    </w:p>
    <w:p w14:paraId="59F660B8" w14:textId="77777777" w:rsidR="00CF24C8" w:rsidRPr="00CF24C8" w:rsidRDefault="00CF24C8" w:rsidP="00CF24C8">
      <w:pPr>
        <w:spacing w:line="259" w:lineRule="auto"/>
        <w:jc w:val="both"/>
        <w:rPr>
          <w:lang w:val="it-IT"/>
        </w:rPr>
      </w:pPr>
    </w:p>
    <w:p w14:paraId="5BE9566C" w14:textId="4BCFD208" w:rsidR="00CF24C8" w:rsidRPr="00CF24C8" w:rsidRDefault="00CF24C8" w:rsidP="00CF24C8">
      <w:pPr>
        <w:spacing w:line="259" w:lineRule="auto"/>
        <w:jc w:val="both"/>
        <w:rPr>
          <w:rFonts w:eastAsiaTheme="minorEastAsia"/>
          <w:lang w:val="it-IT"/>
        </w:rPr>
      </w:pPr>
      <w:r w:rsidRPr="00CF24C8">
        <w:rPr>
          <w:lang w:val="it-IT"/>
        </w:rPr>
        <w:t xml:space="preserve">Anche i dati di ribociclib negli endpoint secondari di efficacia sono rimasti coerenti </w:t>
      </w:r>
      <w:r w:rsidR="00915347">
        <w:rPr>
          <w:lang w:val="it-IT"/>
        </w:rPr>
        <w:t>con quanto osservato per l’endpoi</w:t>
      </w:r>
      <w:r w:rsidR="00713E68">
        <w:rPr>
          <w:lang w:val="it-IT"/>
        </w:rPr>
        <w:t>n</w:t>
      </w:r>
      <w:r w:rsidR="00915347">
        <w:rPr>
          <w:lang w:val="it-IT"/>
        </w:rPr>
        <w:t xml:space="preserve">t primario. </w:t>
      </w:r>
      <w:r w:rsidRPr="00CF24C8">
        <w:rPr>
          <w:lang w:val="it-IT"/>
        </w:rPr>
        <w:t xml:space="preserve">Con meno del 4% degli eventi in entrambi i bracci dello studio i risultati di sopravvivenza globale </w:t>
      </w:r>
      <w:r w:rsidRPr="00CF24C8">
        <w:rPr>
          <w:rFonts w:eastAsiaTheme="minorEastAsia"/>
          <w:lang w:val="it-IT"/>
        </w:rPr>
        <w:t>(OS) continueranno ad evolvere nel lungo periodo</w:t>
      </w:r>
      <w:r w:rsidRPr="00CF24C8">
        <w:rPr>
          <w:vertAlign w:val="superscript"/>
          <w:lang w:val="it-IT"/>
        </w:rPr>
        <w:t>1,2</w:t>
      </w:r>
      <w:r w:rsidRPr="00CF24C8">
        <w:rPr>
          <w:rFonts w:eastAsiaTheme="minorEastAsia"/>
          <w:lang w:val="it-IT"/>
        </w:rPr>
        <w:t>.</w:t>
      </w:r>
    </w:p>
    <w:p w14:paraId="21A55670" w14:textId="77777777" w:rsidR="00CF24C8" w:rsidRPr="00CF24C8" w:rsidRDefault="00CF24C8" w:rsidP="00CF24C8">
      <w:pPr>
        <w:jc w:val="both"/>
        <w:rPr>
          <w:rFonts w:eastAsiaTheme="minorEastAsia"/>
          <w:color w:val="221F1F"/>
          <w:lang w:val="it-IT"/>
        </w:rPr>
      </w:pPr>
    </w:p>
    <w:p w14:paraId="5EF1BB10" w14:textId="77777777" w:rsidR="00CF24C8" w:rsidRPr="00CF24C8" w:rsidRDefault="00CF24C8" w:rsidP="00CF24C8">
      <w:pPr>
        <w:jc w:val="both"/>
        <w:rPr>
          <w:rFonts w:eastAsiaTheme="minorEastAsia"/>
          <w:color w:val="221F1F"/>
          <w:lang w:val="it-IT"/>
        </w:rPr>
      </w:pPr>
      <w:r w:rsidRPr="00CF24C8">
        <w:rPr>
          <w:rFonts w:eastAsiaTheme="minorEastAsia"/>
          <w:color w:val="221F1F"/>
          <w:lang w:val="it-IT"/>
        </w:rPr>
        <w:t xml:space="preserve">Il profilo di sicurezza di ribociclib al dosaggio di 400 mg è rimasto consistente con i risultati precedentemente riportati, </w:t>
      </w:r>
      <w:r w:rsidRPr="00CF24C8">
        <w:rPr>
          <w:rFonts w:ascii="Arial" w:eastAsia="Arial" w:hAnsi="Arial" w:cs="Times New Roman"/>
          <w:lang w:val="it-IT"/>
        </w:rPr>
        <w:t>con eventi avversi generalmente di basso grado</w:t>
      </w:r>
      <w:r w:rsidRPr="00CF24C8">
        <w:rPr>
          <w:lang w:val="it-IT"/>
        </w:rPr>
        <w:t xml:space="preserve"> </w:t>
      </w:r>
      <w:r w:rsidRPr="00CF24C8">
        <w:rPr>
          <w:rFonts w:eastAsiaTheme="minorEastAsia"/>
          <w:color w:val="221F1F"/>
          <w:lang w:val="it-IT"/>
        </w:rPr>
        <w:t>- a parte le anomalie di laboratorio. Gli eventi avversi (AEs) riportati più frequentemente di particolare interesse (grado ≥ 3) sono neutropenia (44,3%), AEs epatici (es, transaminiasi elevate) (8,6%), prolungamento dell’intervallo QT (1,0%)</w:t>
      </w:r>
      <w:r w:rsidRPr="00CF24C8">
        <w:rPr>
          <w:vertAlign w:val="superscript"/>
          <w:lang w:val="it-IT"/>
        </w:rPr>
        <w:t>1,2</w:t>
      </w:r>
      <w:r w:rsidRPr="00CF24C8">
        <w:rPr>
          <w:rFonts w:eastAsiaTheme="minorEastAsia"/>
          <w:color w:val="221F1F"/>
          <w:lang w:val="it-IT"/>
        </w:rPr>
        <w:t>. N</w:t>
      </w:r>
      <w:r w:rsidRPr="00CF24C8">
        <w:rPr>
          <w:lang w:val="it-IT"/>
        </w:rPr>
        <w:t>on sono stati identificati nuovi segnali di sicurezza</w:t>
      </w:r>
      <w:r w:rsidRPr="00CF24C8">
        <w:rPr>
          <w:vertAlign w:val="superscript"/>
          <w:lang w:val="it-IT"/>
        </w:rPr>
        <w:t>1,2</w:t>
      </w:r>
      <w:r w:rsidRPr="00CF24C8">
        <w:rPr>
          <w:rFonts w:eastAsiaTheme="minorEastAsia"/>
          <w:color w:val="221F1F"/>
          <w:lang w:val="it-IT"/>
        </w:rPr>
        <w:t>.</w:t>
      </w:r>
    </w:p>
    <w:p w14:paraId="7AA22D60" w14:textId="77777777" w:rsidR="00CF24C8" w:rsidRPr="00CF24C8" w:rsidRDefault="00CF24C8" w:rsidP="00CF24C8">
      <w:pPr>
        <w:jc w:val="both"/>
        <w:rPr>
          <w:lang w:val="it-IT"/>
        </w:rPr>
      </w:pPr>
    </w:p>
    <w:p w14:paraId="3AB3B08A" w14:textId="7FC4A8C3" w:rsidR="00CF24C8" w:rsidRPr="00CF24C8" w:rsidRDefault="00CF24C8" w:rsidP="00CF24C8">
      <w:pPr>
        <w:jc w:val="both"/>
        <w:rPr>
          <w:lang w:val="it-IT"/>
        </w:rPr>
      </w:pPr>
      <w:r w:rsidRPr="00CF24C8">
        <w:rPr>
          <w:rStyle w:val="normaltextrun"/>
          <w:rFonts w:ascii="Arial" w:hAnsi="Arial"/>
          <w:color w:val="000000"/>
          <w:shd w:val="clear" w:color="auto" w:fill="FFFFFF"/>
          <w:lang w:val="it-IT"/>
        </w:rPr>
        <w:t xml:space="preserve">“L’analisi finale di iDFS dello studio NATALEE rappresenta una pietra miliare significativa, che si aggiunge alle solide evidenze a sostegno di ribociclib come potenziale nuovo trattamento adiuvante per un'ampia popolazione clinicamente comune e identificabile di pazienti con tumore della mammella in fase iniziale in stadio II e III HR+/HER2-,” dichiara </w:t>
      </w:r>
      <w:r>
        <w:rPr>
          <w:rStyle w:val="normaltextrun"/>
          <w:rFonts w:ascii="Arial" w:hAnsi="Arial"/>
          <w:color w:val="000000"/>
          <w:shd w:val="clear" w:color="auto" w:fill="FFFFFF"/>
          <w:lang w:val="it-IT"/>
        </w:rPr>
        <w:t xml:space="preserve">Paola Coco, </w:t>
      </w:r>
      <w:r>
        <w:rPr>
          <w:rFonts w:ascii="Arial" w:eastAsia="Calibri" w:hAnsi="Arial" w:cs="Arial"/>
          <w:color w:val="auto"/>
          <w:lang w:val="it-IT" w:eastAsia="it-IT"/>
        </w:rPr>
        <w:t xml:space="preserve">CSO &amp; Medical Affairs Head, </w:t>
      </w:r>
      <w:r w:rsidRPr="006C79BB">
        <w:rPr>
          <w:rFonts w:ascii="Arial" w:eastAsia="Calibri" w:hAnsi="Arial" w:cs="Arial"/>
          <w:color w:val="auto"/>
          <w:lang w:val="it-IT" w:eastAsia="it-IT"/>
        </w:rPr>
        <w:t>Novartis</w:t>
      </w:r>
      <w:r>
        <w:rPr>
          <w:rFonts w:ascii="Arial" w:eastAsia="Calibri" w:hAnsi="Arial" w:cs="Arial"/>
          <w:color w:val="auto"/>
          <w:lang w:val="it-IT" w:eastAsia="it-IT"/>
        </w:rPr>
        <w:t xml:space="preserve"> Italia</w:t>
      </w:r>
      <w:r w:rsidRPr="00CF24C8">
        <w:rPr>
          <w:rStyle w:val="normaltextrun"/>
          <w:rFonts w:ascii="Arial" w:hAnsi="Arial"/>
          <w:color w:val="000000"/>
          <w:shd w:val="clear" w:color="auto" w:fill="FFFFFF"/>
          <w:lang w:val="it-IT"/>
        </w:rPr>
        <w:t>.</w:t>
      </w:r>
      <w:r w:rsidR="00287561">
        <w:rPr>
          <w:rStyle w:val="normaltextrun"/>
          <w:rFonts w:ascii="Arial" w:hAnsi="Arial"/>
          <w:color w:val="000000"/>
          <w:shd w:val="clear" w:color="auto" w:fill="FFFFFF"/>
          <w:lang w:val="it-IT"/>
        </w:rPr>
        <w:t xml:space="preserve"> </w:t>
      </w:r>
      <w:r w:rsidRPr="00CF24C8">
        <w:rPr>
          <w:rStyle w:val="normaltextrun"/>
          <w:rFonts w:ascii="Arial" w:hAnsi="Arial"/>
          <w:color w:val="000000"/>
          <w:shd w:val="clear" w:color="auto" w:fill="FFFFFF"/>
          <w:lang w:val="it-IT"/>
        </w:rPr>
        <w:t xml:space="preserve">“Stiamo richiedendo alle autorità </w:t>
      </w:r>
      <w:r w:rsidR="00E26622">
        <w:rPr>
          <w:rStyle w:val="normaltextrun"/>
          <w:rFonts w:ascii="Arial" w:hAnsi="Arial"/>
          <w:color w:val="000000"/>
          <w:shd w:val="clear" w:color="auto" w:fill="FFFFFF"/>
          <w:lang w:val="it-IT"/>
        </w:rPr>
        <w:t>regolatorie l</w:t>
      </w:r>
      <w:r w:rsidRPr="00CF24C8">
        <w:rPr>
          <w:rStyle w:val="normaltextrun"/>
          <w:rFonts w:ascii="Arial" w:hAnsi="Arial"/>
          <w:color w:val="000000"/>
          <w:shd w:val="clear" w:color="auto" w:fill="FFFFFF"/>
          <w:lang w:val="it-IT"/>
        </w:rPr>
        <w:t xml:space="preserve">’approvazione di ribociclib nel tumore della mammella in fase iniziale, aspirando </w:t>
      </w:r>
      <w:r w:rsidR="00E26622">
        <w:rPr>
          <w:rStyle w:val="normaltextrun"/>
          <w:rFonts w:ascii="Arial" w:hAnsi="Arial"/>
          <w:color w:val="000000"/>
          <w:shd w:val="clear" w:color="auto" w:fill="FFFFFF"/>
          <w:lang w:val="it-IT"/>
        </w:rPr>
        <w:t>ad aiutare sempre più donne a non ricorre</w:t>
      </w:r>
      <w:r w:rsidR="00962203">
        <w:rPr>
          <w:rStyle w:val="normaltextrun"/>
          <w:rFonts w:ascii="Arial" w:hAnsi="Arial"/>
          <w:color w:val="000000"/>
          <w:shd w:val="clear" w:color="auto" w:fill="FFFFFF"/>
          <w:lang w:val="it-IT"/>
        </w:rPr>
        <w:t>re</w:t>
      </w:r>
      <w:r w:rsidR="00E26622">
        <w:rPr>
          <w:rStyle w:val="normaltextrun"/>
          <w:rFonts w:ascii="Arial" w:hAnsi="Arial"/>
          <w:color w:val="000000"/>
          <w:shd w:val="clear" w:color="auto" w:fill="FFFFFF"/>
          <w:lang w:val="it-IT"/>
        </w:rPr>
        <w:t xml:space="preserve"> in recidive</w:t>
      </w:r>
      <w:r w:rsidRPr="00CF24C8" w:rsidDel="00625D48">
        <w:rPr>
          <w:lang w:val="it-IT"/>
        </w:rPr>
        <w:t>”</w:t>
      </w:r>
      <w:r w:rsidRPr="00CF24C8">
        <w:rPr>
          <w:lang w:val="it-IT"/>
        </w:rPr>
        <w:t>.</w:t>
      </w:r>
      <w:r w:rsidRPr="00CF24C8" w:rsidDel="00625D48">
        <w:rPr>
          <w:lang w:val="it-IT"/>
        </w:rPr>
        <w:t xml:space="preserve"> </w:t>
      </w:r>
    </w:p>
    <w:p w14:paraId="1A8870EE" w14:textId="77777777" w:rsidR="00CF24C8" w:rsidRPr="00CF24C8" w:rsidRDefault="00CF24C8" w:rsidP="00CF24C8">
      <w:pPr>
        <w:jc w:val="both"/>
        <w:rPr>
          <w:i/>
          <w:iCs/>
          <w:lang w:val="it-IT"/>
        </w:rPr>
      </w:pPr>
    </w:p>
    <w:p w14:paraId="7F612948" w14:textId="77777777" w:rsidR="00CF24C8" w:rsidRPr="00CF24C8" w:rsidRDefault="00CF24C8" w:rsidP="00CF24C8">
      <w:pPr>
        <w:jc w:val="both"/>
        <w:rPr>
          <w:lang w:val="it-IT"/>
        </w:rPr>
      </w:pPr>
      <w:r w:rsidRPr="00CF24C8">
        <w:rPr>
          <w:lang w:val="it-IT"/>
        </w:rPr>
        <w:t>Novartis ha presentato i dati dello studio NATALEE alla European Medicines Agency e prevede di completare la richiesta alla Food and Drug Administration americana entro la fine dell’anno.</w:t>
      </w:r>
    </w:p>
    <w:p w14:paraId="6E249595" w14:textId="77777777" w:rsidR="000B53CF" w:rsidRDefault="000B53CF" w:rsidP="000B53CF">
      <w:pPr>
        <w:spacing w:line="256" w:lineRule="auto"/>
        <w:rPr>
          <w:rFonts w:ascii="Calibri" w:eastAsia="Calibri" w:hAnsi="Calibri" w:cs="Times New Roman"/>
          <w:b/>
          <w:bCs/>
          <w:color w:val="auto"/>
          <w:sz w:val="22"/>
          <w:szCs w:val="22"/>
          <w:lang w:val="it-IT"/>
        </w:rPr>
      </w:pPr>
    </w:p>
    <w:p w14:paraId="44EC2FE9" w14:textId="214EFBF4" w:rsidR="00CF24C8" w:rsidRPr="005C7FF3" w:rsidRDefault="00CF24C8" w:rsidP="000B53CF">
      <w:pPr>
        <w:spacing w:line="256" w:lineRule="auto"/>
        <w:rPr>
          <w:rFonts w:asciiTheme="majorHAnsi" w:eastAsia="Calibri" w:hAnsiTheme="majorHAnsi" w:cstheme="majorHAnsi"/>
          <w:b/>
          <w:bCs/>
          <w:color w:val="auto"/>
          <w:lang w:val="it-IT"/>
        </w:rPr>
      </w:pPr>
      <w:r w:rsidRPr="005C7FF3">
        <w:rPr>
          <w:rFonts w:asciiTheme="majorHAnsi" w:eastAsia="Calibri" w:hAnsiTheme="majorHAnsi" w:cstheme="majorHAnsi"/>
          <w:b/>
          <w:bCs/>
          <w:color w:val="auto"/>
          <w:lang w:val="it-IT"/>
        </w:rPr>
        <w:t>Lo studio NATALEE</w:t>
      </w:r>
    </w:p>
    <w:p w14:paraId="33F6E75F" w14:textId="614ABF86" w:rsidR="00CF24C8" w:rsidRPr="006C79BB" w:rsidRDefault="00CF24C8" w:rsidP="000B53CF">
      <w:pPr>
        <w:spacing w:line="256" w:lineRule="auto"/>
        <w:jc w:val="both"/>
        <w:rPr>
          <w:rFonts w:ascii="Arial" w:eastAsia="Calibri" w:hAnsi="Arial" w:cs="Arial"/>
          <w:color w:val="auto"/>
          <w:vertAlign w:val="superscript"/>
          <w:lang w:val="it-IT" w:eastAsia="it-IT"/>
        </w:rPr>
      </w:pPr>
      <w:r w:rsidRPr="006C79BB">
        <w:rPr>
          <w:rFonts w:ascii="Arial" w:eastAsia="Calibri" w:hAnsi="Arial" w:cs="Arial"/>
          <w:color w:val="auto"/>
          <w:lang w:val="it-IT" w:eastAsia="it-IT"/>
        </w:rPr>
        <w:t>NATALEE è uno studio globale multicentrico di Fase III randomizzato, in aperto, per la valutazione dell’efficacia e della sicurezza di ribociclib con terapia endocrina come trattamento adiuvante rispetto alla sola terapia endocrina nei pazienti con tumore della mammella in fase iniziale HR+/HER2-, condotto in collaborazione con TRIO.</w:t>
      </w:r>
      <w:r w:rsidRPr="006C79BB">
        <w:rPr>
          <w:rFonts w:ascii="Arial" w:eastAsia="Calibri" w:hAnsi="Arial" w:cs="Arial"/>
          <w:color w:val="auto"/>
          <w:vertAlign w:val="superscript"/>
          <w:lang w:val="it-IT" w:eastAsia="it-IT"/>
        </w:rPr>
        <w:t>2</w:t>
      </w:r>
      <w:r w:rsidRPr="006C79BB">
        <w:rPr>
          <w:rFonts w:ascii="Arial" w:eastAsia="Calibri" w:hAnsi="Arial" w:cs="Arial"/>
          <w:color w:val="auto"/>
          <w:lang w:val="it-IT" w:eastAsia="it-IT"/>
        </w:rPr>
        <w:t xml:space="preserve"> La terapia endocrina adiuvante in entrambi i bracci era un inibitore dell'aromatasi non steroideo (</w:t>
      </w:r>
      <w:r w:rsidR="00962203">
        <w:rPr>
          <w:rFonts w:ascii="Arial" w:eastAsia="Calibri" w:hAnsi="Arial" w:cs="Arial"/>
          <w:color w:val="auto"/>
          <w:lang w:val="it-IT" w:eastAsia="it-IT"/>
        </w:rPr>
        <w:t>NSAI</w:t>
      </w:r>
      <w:r w:rsidRPr="006C79BB">
        <w:rPr>
          <w:rFonts w:ascii="Arial" w:eastAsia="Calibri" w:hAnsi="Arial" w:cs="Arial"/>
          <w:color w:val="auto"/>
          <w:lang w:val="it-IT" w:eastAsia="it-IT"/>
        </w:rPr>
        <w:t xml:space="preserve">; anastrozolo o letrozolo) e goserelin, se </w:t>
      </w:r>
      <w:r w:rsidR="00962203">
        <w:rPr>
          <w:rFonts w:ascii="Arial" w:eastAsia="Calibri" w:hAnsi="Arial" w:cs="Arial"/>
          <w:color w:val="auto"/>
          <w:lang w:val="it-IT" w:eastAsia="it-IT"/>
        </w:rPr>
        <w:t>clinicamente indicato</w:t>
      </w:r>
      <w:r w:rsidRPr="006C79BB">
        <w:rPr>
          <w:rFonts w:ascii="Arial" w:eastAsia="Calibri" w:hAnsi="Arial" w:cs="Arial"/>
          <w:color w:val="auto"/>
          <w:lang w:val="it-IT" w:eastAsia="it-IT"/>
        </w:rPr>
        <w:t>.</w:t>
      </w:r>
      <w:r w:rsidRPr="006C79BB">
        <w:rPr>
          <w:rFonts w:ascii="Arial" w:eastAsia="Calibri" w:hAnsi="Arial" w:cs="Arial"/>
          <w:color w:val="auto"/>
          <w:vertAlign w:val="superscript"/>
          <w:lang w:val="it-IT" w:eastAsia="it-IT"/>
        </w:rPr>
        <w:t xml:space="preserve">2 </w:t>
      </w:r>
      <w:r w:rsidRPr="006C79BB">
        <w:rPr>
          <w:rFonts w:ascii="Arial" w:eastAsia="Calibri" w:hAnsi="Arial" w:cs="Arial"/>
          <w:color w:val="auto"/>
          <w:lang w:val="it-IT" w:eastAsia="it-IT"/>
        </w:rPr>
        <w:t>L’endpoint primario d</w:t>
      </w:r>
      <w:r w:rsidR="00962203">
        <w:rPr>
          <w:rFonts w:ascii="Arial" w:eastAsia="Calibri" w:hAnsi="Arial" w:cs="Arial"/>
          <w:color w:val="auto"/>
          <w:lang w:val="it-IT" w:eastAsia="it-IT"/>
        </w:rPr>
        <w:t>ello studio</w:t>
      </w:r>
      <w:r w:rsidRPr="006C79BB">
        <w:rPr>
          <w:rFonts w:ascii="Arial" w:eastAsia="Calibri" w:hAnsi="Arial" w:cs="Arial"/>
          <w:color w:val="auto"/>
          <w:lang w:val="it-IT" w:eastAsia="it-IT"/>
        </w:rPr>
        <w:t xml:space="preserve"> NATALEE è la sopravvivenza libera da malattia invasiva (iDFS) secondo la definizione dei criteri Standardized Definitions for Efficacy End Points (STEEP).</w:t>
      </w:r>
      <w:r w:rsidRPr="006C79BB">
        <w:rPr>
          <w:rFonts w:ascii="Arial" w:eastAsia="Calibri" w:hAnsi="Arial" w:cs="Arial"/>
          <w:color w:val="auto"/>
          <w:vertAlign w:val="superscript"/>
          <w:lang w:val="it-IT" w:eastAsia="it-IT"/>
        </w:rPr>
        <w:t xml:space="preserve">2 </w:t>
      </w:r>
      <w:r w:rsidRPr="006C79BB">
        <w:rPr>
          <w:rFonts w:ascii="Arial" w:eastAsia="Calibri" w:hAnsi="Arial" w:cs="Arial"/>
          <w:color w:val="auto"/>
          <w:lang w:val="it-IT" w:eastAsia="it-IT"/>
        </w:rPr>
        <w:t>Nello studio sono stati randomizzati 5.101 pazienti adulti con tumore della mammella in fase iniziale HR+/HER2- di 20 Paesi.</w:t>
      </w:r>
      <w:r w:rsidRPr="006C79BB">
        <w:rPr>
          <w:rFonts w:ascii="Arial" w:eastAsia="Calibri" w:hAnsi="Arial" w:cs="Arial"/>
          <w:color w:val="auto"/>
          <w:vertAlign w:val="superscript"/>
          <w:lang w:val="it-IT" w:eastAsia="it-IT"/>
        </w:rPr>
        <w:t>2</w:t>
      </w:r>
    </w:p>
    <w:p w14:paraId="2216E64E" w14:textId="77777777" w:rsidR="00CF24C8" w:rsidRPr="006C79BB" w:rsidRDefault="00CF24C8" w:rsidP="000B53CF">
      <w:pPr>
        <w:keepNext/>
        <w:keepLines/>
        <w:jc w:val="both"/>
        <w:rPr>
          <w:rFonts w:ascii="Arial" w:eastAsia="Calibri" w:hAnsi="Arial" w:cs="Arial"/>
          <w:b/>
          <w:bCs/>
          <w:color w:val="auto"/>
          <w:lang w:val="it-IT" w:eastAsia="it-IT"/>
        </w:rPr>
      </w:pPr>
      <w:r w:rsidRPr="006C79BB">
        <w:rPr>
          <w:rFonts w:ascii="Arial" w:eastAsia="Calibri" w:hAnsi="Arial" w:cs="Arial"/>
          <w:b/>
          <w:bCs/>
          <w:color w:val="auto"/>
          <w:lang w:val="it-IT" w:eastAsia="it-IT"/>
        </w:rPr>
        <w:lastRenderedPageBreak/>
        <w:t>Il tumore della mammella in fase iniziale</w:t>
      </w:r>
    </w:p>
    <w:p w14:paraId="638DFA0D" w14:textId="77777777" w:rsidR="00CF24C8" w:rsidRPr="006C79BB" w:rsidRDefault="00CF24C8" w:rsidP="00CF24C8">
      <w:pPr>
        <w:keepNext/>
        <w:keepLines/>
        <w:jc w:val="both"/>
        <w:rPr>
          <w:rFonts w:ascii="Arial" w:eastAsia="Calibri" w:hAnsi="Arial" w:cs="Arial"/>
          <w:color w:val="auto"/>
          <w:lang w:val="it-IT" w:eastAsia="it-IT"/>
        </w:rPr>
      </w:pPr>
      <w:r w:rsidRPr="006C79BB">
        <w:rPr>
          <w:rFonts w:ascii="Arial" w:eastAsia="Calibri" w:hAnsi="Arial" w:cs="Arial"/>
          <w:color w:val="auto"/>
          <w:lang w:val="it-IT" w:eastAsia="it-IT"/>
        </w:rPr>
        <w:t>Più del 90% dei pazienti con tumore della mammella presenta una diagnosi di malattia in fase iniziale (EBC)</w:t>
      </w:r>
      <w:r w:rsidRPr="006C79BB">
        <w:rPr>
          <w:rFonts w:ascii="Arial" w:eastAsia="Calibri" w:hAnsi="Arial" w:cs="Arial"/>
          <w:color w:val="auto"/>
          <w:vertAlign w:val="superscript"/>
          <w:lang w:val="it-IT" w:eastAsia="it-IT"/>
        </w:rPr>
        <w:t>4</w:t>
      </w:r>
      <w:r w:rsidRPr="006C79BB">
        <w:rPr>
          <w:rFonts w:ascii="Arial" w:eastAsia="Calibri" w:hAnsi="Arial" w:cs="Arial"/>
          <w:color w:val="auto"/>
          <w:lang w:val="it-IT" w:eastAsia="it-IT"/>
        </w:rPr>
        <w:t>. Nonostante la terapia adiuvante standard di cura, circa un terzo dei pazienti con diagnosi di stadio II HR+/HER2- e più della metà di quelli con stadio III HR+/HER2- va incontro a recidiva di malattia</w:t>
      </w:r>
      <w:r w:rsidRPr="006C79BB">
        <w:rPr>
          <w:rFonts w:ascii="Arial" w:eastAsia="Calibri" w:hAnsi="Arial" w:cs="Arial"/>
          <w:color w:val="auto"/>
          <w:vertAlign w:val="superscript"/>
          <w:lang w:val="it-IT" w:eastAsia="it-IT"/>
        </w:rPr>
        <w:t>5,6</w:t>
      </w:r>
      <w:r w:rsidRPr="006C79BB">
        <w:rPr>
          <w:rFonts w:ascii="Arial" w:eastAsia="Calibri" w:hAnsi="Arial" w:cs="Arial"/>
          <w:color w:val="auto"/>
          <w:lang w:val="it-IT" w:eastAsia="it-IT"/>
        </w:rPr>
        <w:t>. Il rischio di recidiva continua per decenni con più della metà delle recidive dopo 5 o più anni dalla diagnosi</w:t>
      </w:r>
      <w:r w:rsidRPr="006C79BB">
        <w:rPr>
          <w:rFonts w:ascii="Arial" w:eastAsia="Calibri" w:hAnsi="Arial" w:cs="Arial"/>
          <w:color w:val="auto"/>
          <w:vertAlign w:val="superscript"/>
          <w:lang w:val="it-IT" w:eastAsia="it-IT"/>
        </w:rPr>
        <w:t>5,7</w:t>
      </w:r>
      <w:r w:rsidRPr="006C79BB">
        <w:rPr>
          <w:rFonts w:ascii="Arial" w:eastAsia="Calibri" w:hAnsi="Arial" w:cs="Arial"/>
          <w:color w:val="auto"/>
          <w:lang w:val="it-IT" w:eastAsia="it-IT"/>
        </w:rPr>
        <w:t>. Per molti di questi pazienti non esistono attualmente opzioni terapeutiche mirate, oltre alla chemioterapia standard e alla terapia endocrina</w:t>
      </w:r>
      <w:r w:rsidRPr="006C79BB">
        <w:rPr>
          <w:rFonts w:ascii="Arial" w:eastAsia="Calibri" w:hAnsi="Arial" w:cs="Arial"/>
          <w:color w:val="auto"/>
          <w:vertAlign w:val="superscript"/>
          <w:lang w:val="it-IT" w:eastAsia="it-IT"/>
        </w:rPr>
        <w:t>8</w:t>
      </w:r>
      <w:r w:rsidRPr="006C79BB">
        <w:rPr>
          <w:rFonts w:ascii="Arial" w:eastAsia="Calibri" w:hAnsi="Arial" w:cs="Arial"/>
          <w:color w:val="auto"/>
          <w:lang w:val="it-IT" w:eastAsia="it-IT"/>
        </w:rPr>
        <w:t>.</w:t>
      </w:r>
    </w:p>
    <w:p w14:paraId="58BEBC02" w14:textId="77777777" w:rsidR="00CF24C8" w:rsidRPr="006C79BB" w:rsidRDefault="00CF24C8" w:rsidP="000A6AB8">
      <w:pPr>
        <w:spacing w:line="240" w:lineRule="auto"/>
        <w:jc w:val="both"/>
        <w:rPr>
          <w:rFonts w:ascii="Calibri" w:eastAsia="Calibri" w:hAnsi="Calibri" w:cs="Times New Roman"/>
          <w:b/>
          <w:bCs/>
          <w:color w:val="auto"/>
          <w:sz w:val="22"/>
          <w:szCs w:val="22"/>
          <w:lang w:val="it-IT"/>
        </w:rPr>
      </w:pPr>
    </w:p>
    <w:p w14:paraId="283F7929" w14:textId="0F318C4D" w:rsidR="00CF24C8" w:rsidRPr="006C79BB" w:rsidRDefault="00CF24C8" w:rsidP="000B53CF">
      <w:pPr>
        <w:spacing w:line="240" w:lineRule="auto"/>
        <w:jc w:val="both"/>
        <w:rPr>
          <w:rFonts w:ascii="Arial" w:eastAsia="Calibri" w:hAnsi="Arial" w:cs="Arial"/>
          <w:b/>
          <w:bCs/>
          <w:color w:val="auto"/>
          <w:lang w:val="it-IT" w:eastAsia="it-IT"/>
        </w:rPr>
      </w:pPr>
      <w:r w:rsidRPr="006C79BB">
        <w:rPr>
          <w:rFonts w:ascii="Arial" w:eastAsia="Calibri" w:hAnsi="Arial" w:cs="Arial"/>
          <w:b/>
          <w:bCs/>
          <w:color w:val="auto"/>
          <w:lang w:val="it-IT" w:eastAsia="it-IT"/>
        </w:rPr>
        <w:t>Ribociclib</w:t>
      </w:r>
    </w:p>
    <w:p w14:paraId="2617EAF8" w14:textId="55B8E7D1" w:rsidR="00CF24C8" w:rsidRPr="006C79BB" w:rsidRDefault="00CF24C8" w:rsidP="000A6AB8">
      <w:pPr>
        <w:spacing w:line="240" w:lineRule="auto"/>
        <w:jc w:val="both"/>
        <w:rPr>
          <w:rFonts w:ascii="Arial" w:eastAsia="Calibri" w:hAnsi="Arial" w:cs="Arial"/>
          <w:color w:val="auto"/>
          <w:lang w:val="it-IT" w:eastAsia="it-IT"/>
        </w:rPr>
      </w:pPr>
      <w:r w:rsidRPr="006C79BB">
        <w:rPr>
          <w:rFonts w:ascii="Arial" w:eastAsia="Calibri" w:hAnsi="Arial" w:cs="Arial"/>
          <w:color w:val="auto"/>
          <w:lang w:val="it-IT" w:eastAsia="it-IT"/>
        </w:rPr>
        <w:t xml:space="preserve">Ribociclib ha dimostrato costantemente un beneficio in termini di OS, preservando o migliorando la qualità di vita in tre studi di Fase III nel </w:t>
      </w:r>
      <w:r>
        <w:rPr>
          <w:rFonts w:ascii="Arial" w:eastAsia="Calibri" w:hAnsi="Arial" w:cs="Arial"/>
          <w:color w:val="auto"/>
          <w:lang w:val="it-IT" w:eastAsia="it-IT"/>
        </w:rPr>
        <w:t>tumore al seno metastatico</w:t>
      </w:r>
      <w:r w:rsidRPr="006C79BB">
        <w:rPr>
          <w:rFonts w:ascii="Arial" w:eastAsia="Calibri" w:hAnsi="Arial" w:cs="Arial"/>
          <w:color w:val="auto"/>
          <w:vertAlign w:val="superscript"/>
          <w:lang w:val="it-IT" w:eastAsia="it-IT"/>
        </w:rPr>
        <w:t>9-20</w:t>
      </w:r>
      <w:r w:rsidRPr="006C79BB">
        <w:rPr>
          <w:rFonts w:ascii="Arial" w:eastAsia="Calibri" w:hAnsi="Arial" w:cs="Arial"/>
          <w:color w:val="auto"/>
          <w:lang w:val="it-IT" w:eastAsia="it-IT"/>
        </w:rPr>
        <w:t>. L’aggiornamento delle Linee Guida NCCN per il tumore del seno, pubblicato a gennaio 2023, raccomanda ribociclib per il trattamento di prima linea dei pazienti con tumore della mammella metastatico HR+/HER2- in combinazione con un inibitore dell’aromatasi (AI).</w:t>
      </w:r>
      <w:r w:rsidRPr="006C79BB">
        <w:rPr>
          <w:rFonts w:ascii="Arial" w:eastAsia="Calibri" w:hAnsi="Arial" w:cs="Arial"/>
          <w:color w:val="auto"/>
          <w:vertAlign w:val="superscript"/>
          <w:lang w:val="it-IT" w:eastAsia="it-IT"/>
        </w:rPr>
        <w:t>21</w:t>
      </w:r>
    </w:p>
    <w:p w14:paraId="135ACCE8" w14:textId="77777777" w:rsidR="000B53CF" w:rsidRDefault="000B53CF" w:rsidP="000A6AB8">
      <w:pPr>
        <w:spacing w:line="256" w:lineRule="auto"/>
        <w:jc w:val="both"/>
        <w:rPr>
          <w:rFonts w:ascii="Arial" w:eastAsia="Calibri" w:hAnsi="Arial" w:cs="Arial"/>
          <w:color w:val="auto"/>
          <w:lang w:val="it-IT" w:eastAsia="it-IT"/>
        </w:rPr>
      </w:pPr>
    </w:p>
    <w:p w14:paraId="7E9DF419" w14:textId="35FF0475" w:rsidR="00CF24C8" w:rsidRPr="006C79BB" w:rsidRDefault="00CF24C8" w:rsidP="000A6AB8">
      <w:pPr>
        <w:spacing w:line="256" w:lineRule="auto"/>
        <w:jc w:val="both"/>
        <w:rPr>
          <w:rFonts w:ascii="Arial" w:eastAsia="Calibri" w:hAnsi="Arial" w:cs="Arial"/>
          <w:color w:val="auto"/>
          <w:lang w:val="it-IT" w:eastAsia="it-IT"/>
        </w:rPr>
      </w:pPr>
      <w:r w:rsidRPr="006C79BB">
        <w:rPr>
          <w:rFonts w:ascii="Arial" w:eastAsia="Calibri" w:hAnsi="Arial" w:cs="Arial"/>
          <w:color w:val="auto"/>
          <w:lang w:val="it-IT" w:eastAsia="it-IT"/>
        </w:rPr>
        <w:t>Ribociclib è approvato in 99 Paesi a livello mondiale, dalla Food and Drug Administration (FDA) americana e dalla Commissione Europea. Negli Stati Uniti ribociclib è approvato per il trattamento dei pazienti adulti con tumore della mammella avanzato o metastatico HR+/HER2- in combinazione con un inibitore dell’aromatasi come terapia endocrina iniziale o fulvestrant come terapia endocrina iniziale o a seguito di progressione di malattia durante la terapia endocrina nelle donne in post-menopausa o negli uomini. Nell’Unione Europea ribociclib è approvato per il trattamento delle pazienti con tumore della mammella avanzato o metastatico HR+/HER2- in combinazione con un inibitore dell’aromatasi o fulvestrant come terapia endocrina iniziale o in seguito a progressione di malattia. Nelle donne in peri- o pre-menopausa, la terapia endocrina dovrebbe essere combinata con un agonista dell'ormone di rilascio dell'ormone luteinizzante</w:t>
      </w:r>
      <w:r w:rsidRPr="006C79BB">
        <w:rPr>
          <w:rFonts w:ascii="Arial" w:eastAsia="Calibri" w:hAnsi="Arial" w:cs="Arial"/>
          <w:color w:val="auto"/>
          <w:vertAlign w:val="superscript"/>
          <w:lang w:val="it-IT" w:eastAsia="it-IT"/>
        </w:rPr>
        <w:t>20</w:t>
      </w:r>
      <w:r w:rsidRPr="006C79BB">
        <w:rPr>
          <w:rFonts w:ascii="Arial" w:eastAsia="Calibri" w:hAnsi="Arial" w:cs="Arial"/>
          <w:color w:val="auto"/>
          <w:lang w:val="it-IT" w:eastAsia="it-IT"/>
        </w:rPr>
        <w:t>.</w:t>
      </w:r>
    </w:p>
    <w:p w14:paraId="0CAA5247" w14:textId="3D9FCBA2" w:rsidR="00CF24C8" w:rsidRPr="006C79BB" w:rsidRDefault="00CF24C8" w:rsidP="00CF24C8">
      <w:pPr>
        <w:spacing w:after="160" w:line="256" w:lineRule="auto"/>
        <w:jc w:val="both"/>
        <w:rPr>
          <w:rFonts w:ascii="Arial" w:eastAsia="Calibri" w:hAnsi="Arial" w:cs="Arial"/>
          <w:color w:val="auto"/>
          <w:lang w:val="it-IT" w:eastAsia="it-IT"/>
        </w:rPr>
      </w:pPr>
      <w:r w:rsidRPr="006C79BB">
        <w:rPr>
          <w:rFonts w:ascii="Arial" w:eastAsia="Calibri" w:hAnsi="Arial" w:cs="Arial"/>
          <w:color w:val="auto"/>
          <w:lang w:val="it-IT" w:eastAsia="it-IT"/>
        </w:rPr>
        <w:t xml:space="preserve">Novartis è impegnata a continuare </w:t>
      </w:r>
      <w:r w:rsidR="00E26622">
        <w:rPr>
          <w:rFonts w:ascii="Arial" w:eastAsia="Calibri" w:hAnsi="Arial" w:cs="Arial"/>
          <w:color w:val="auto"/>
          <w:lang w:val="it-IT" w:eastAsia="it-IT"/>
        </w:rPr>
        <w:t>negli studi clinici di</w:t>
      </w:r>
      <w:r w:rsidRPr="006C79BB">
        <w:rPr>
          <w:rFonts w:ascii="Arial" w:eastAsia="Calibri" w:hAnsi="Arial" w:cs="Arial"/>
          <w:color w:val="auto"/>
          <w:lang w:val="it-IT" w:eastAsia="it-IT"/>
        </w:rPr>
        <w:t xml:space="preserve"> ribociclib nel tumore della mammella. Novartis sta collaborando con SOLTI, che sta conducendo lo studio clinico HARMONIA per verificare se ribociclib cambia la biologia del tumore per consentire una migliore risposta all'ET rispetto a palbociclib nei pazienti con carcinoma mammario HR+/HER2- </w:t>
      </w:r>
      <w:r w:rsidR="00962203">
        <w:rPr>
          <w:rFonts w:ascii="Arial" w:eastAsia="Calibri" w:hAnsi="Arial" w:cs="Arial"/>
          <w:color w:val="auto"/>
          <w:lang w:val="it-IT" w:eastAsia="it-IT"/>
        </w:rPr>
        <w:t xml:space="preserve">di </w:t>
      </w:r>
      <w:r w:rsidRPr="006C79BB">
        <w:rPr>
          <w:rFonts w:ascii="Arial" w:eastAsia="Calibri" w:hAnsi="Arial" w:cs="Arial"/>
          <w:color w:val="auto"/>
          <w:lang w:val="it-IT" w:eastAsia="it-IT"/>
        </w:rPr>
        <w:t>sottotipo in</w:t>
      </w:r>
      <w:r w:rsidR="00962203">
        <w:rPr>
          <w:rFonts w:ascii="Arial" w:eastAsia="Calibri" w:hAnsi="Arial" w:cs="Arial"/>
          <w:color w:val="auto"/>
          <w:lang w:val="it-IT" w:eastAsia="it-IT"/>
        </w:rPr>
        <w:t xml:space="preserve">trinseco </w:t>
      </w:r>
      <w:r w:rsidRPr="006C79BB">
        <w:rPr>
          <w:rFonts w:ascii="Arial" w:eastAsia="Calibri" w:hAnsi="Arial" w:cs="Arial"/>
          <w:color w:val="auto"/>
          <w:lang w:val="it-IT" w:eastAsia="it-IT"/>
        </w:rPr>
        <w:t xml:space="preserve"> H</w:t>
      </w:r>
      <w:r w:rsidR="00D90421">
        <w:rPr>
          <w:rFonts w:ascii="Arial" w:eastAsia="Calibri" w:hAnsi="Arial" w:cs="Arial"/>
          <w:color w:val="auto"/>
          <w:lang w:val="it-IT" w:eastAsia="it-IT"/>
        </w:rPr>
        <w:t>E</w:t>
      </w:r>
      <w:r w:rsidRPr="006C79BB">
        <w:rPr>
          <w:rFonts w:ascii="Arial" w:eastAsia="Calibri" w:hAnsi="Arial" w:cs="Arial"/>
          <w:color w:val="auto"/>
          <w:lang w:val="it-IT" w:eastAsia="it-IT"/>
        </w:rPr>
        <w:t>R2</w:t>
      </w:r>
      <w:r w:rsidR="00D90421">
        <w:rPr>
          <w:rFonts w:ascii="Arial" w:eastAsia="Calibri" w:hAnsi="Arial" w:cs="Arial"/>
          <w:color w:val="auto"/>
          <w:lang w:val="it-IT" w:eastAsia="it-IT"/>
        </w:rPr>
        <w:t>-enriched</w:t>
      </w:r>
      <w:r w:rsidR="00D90421" w:rsidRPr="006C79BB">
        <w:rPr>
          <w:rFonts w:ascii="Arial" w:eastAsia="Calibri" w:hAnsi="Arial" w:cs="Arial"/>
          <w:color w:val="auto"/>
          <w:vertAlign w:val="superscript"/>
          <w:lang w:val="it-IT" w:eastAsia="it-IT"/>
        </w:rPr>
        <w:t>2</w:t>
      </w:r>
      <w:r w:rsidR="00D90421">
        <w:rPr>
          <w:rFonts w:ascii="Arial" w:eastAsia="Calibri" w:hAnsi="Arial" w:cs="Arial"/>
          <w:color w:val="auto"/>
          <w:vertAlign w:val="superscript"/>
          <w:lang w:val="it-IT" w:eastAsia="it-IT"/>
        </w:rPr>
        <w:t>4</w:t>
      </w:r>
      <w:r w:rsidRPr="006C79BB">
        <w:rPr>
          <w:rFonts w:ascii="Arial" w:eastAsia="Calibri" w:hAnsi="Arial" w:cs="Arial"/>
          <w:color w:val="auto"/>
          <w:lang w:val="it-IT" w:eastAsia="it-IT"/>
        </w:rPr>
        <w:t xml:space="preserve"> e con l’Akershus University Hospital in Norvegia nello studio di Fase II neoadiuvante NEOLETRIB che analizza gli effetti di ribociclib nel tumore della mammella in fase iniziale HR+/HER2- per indagare il meccanismo d’azione sottostante, potenzialmente unico</w:t>
      </w:r>
      <w:r w:rsidRPr="006C79BB">
        <w:rPr>
          <w:rFonts w:ascii="Arial" w:eastAsia="Calibri" w:hAnsi="Arial" w:cs="Arial"/>
          <w:color w:val="auto"/>
          <w:vertAlign w:val="superscript"/>
          <w:lang w:val="it-IT" w:eastAsia="it-IT"/>
        </w:rPr>
        <w:t>25</w:t>
      </w:r>
      <w:r w:rsidRPr="006C79BB">
        <w:rPr>
          <w:rFonts w:ascii="Arial" w:eastAsia="Calibri" w:hAnsi="Arial" w:cs="Arial"/>
          <w:color w:val="auto"/>
          <w:lang w:val="it-IT" w:eastAsia="it-IT"/>
        </w:rPr>
        <w:t>. </w:t>
      </w:r>
    </w:p>
    <w:p w14:paraId="7D23368C" w14:textId="77777777" w:rsidR="00CF24C8" w:rsidRPr="006C79BB" w:rsidRDefault="00CF24C8" w:rsidP="00CF24C8">
      <w:pPr>
        <w:spacing w:after="160" w:line="256" w:lineRule="auto"/>
        <w:jc w:val="both"/>
        <w:rPr>
          <w:rFonts w:ascii="Arial" w:eastAsia="Calibri" w:hAnsi="Arial" w:cs="Arial"/>
          <w:color w:val="auto"/>
          <w:lang w:val="it-IT" w:eastAsia="it-IT"/>
        </w:rPr>
      </w:pPr>
      <w:r w:rsidRPr="006C79BB">
        <w:rPr>
          <w:rFonts w:ascii="Arial" w:eastAsia="Calibri" w:hAnsi="Arial" w:cs="Arial"/>
          <w:color w:val="auto"/>
          <w:lang w:val="it-IT" w:eastAsia="it-IT"/>
        </w:rPr>
        <w:t>Ribociclib è stato sviluppato da Novartis Institutes for BioMedical Research (NIBR) attraverso una collaborazione di ricerca con Astex Pharmaceuticals. </w:t>
      </w:r>
    </w:p>
    <w:p w14:paraId="4AF08102" w14:textId="77777777" w:rsidR="00CF24C8" w:rsidRPr="006C79BB" w:rsidRDefault="00CF24C8" w:rsidP="00CF24C8">
      <w:pPr>
        <w:spacing w:after="160" w:line="256" w:lineRule="auto"/>
        <w:jc w:val="both"/>
        <w:rPr>
          <w:rFonts w:ascii="Arial" w:eastAsia="Calibri" w:hAnsi="Arial" w:cs="Arial"/>
          <w:color w:val="auto"/>
          <w:lang w:val="it-IT" w:eastAsia="it-IT"/>
        </w:rPr>
      </w:pPr>
    </w:p>
    <w:p w14:paraId="07921627" w14:textId="77777777" w:rsidR="00CF24C8" w:rsidRPr="006C79BB" w:rsidRDefault="00CF24C8" w:rsidP="00CF24C8">
      <w:pPr>
        <w:keepNext/>
        <w:keepLines/>
        <w:spacing w:after="160" w:line="256" w:lineRule="auto"/>
        <w:jc w:val="both"/>
        <w:rPr>
          <w:rFonts w:ascii="Arial" w:eastAsia="Arial" w:hAnsi="Arial" w:cs="Times New Roman"/>
          <w:b/>
          <w:color w:val="auto"/>
          <w:sz w:val="16"/>
          <w:szCs w:val="16"/>
          <w:lang w:val="it-IT"/>
        </w:rPr>
      </w:pPr>
      <w:r w:rsidRPr="006C79BB">
        <w:rPr>
          <w:rFonts w:ascii="Arial" w:eastAsia="Arial" w:hAnsi="Arial" w:cs="Times New Roman"/>
          <w:b/>
          <w:color w:val="auto"/>
          <w:sz w:val="16"/>
          <w:szCs w:val="16"/>
          <w:lang w:val="it-IT"/>
        </w:rPr>
        <w:t>Disclaimer</w:t>
      </w:r>
    </w:p>
    <w:p w14:paraId="0A688347" w14:textId="77777777" w:rsidR="00CF24C8" w:rsidRPr="006C79BB" w:rsidRDefault="00CF24C8" w:rsidP="00CF24C8">
      <w:pPr>
        <w:spacing w:after="160" w:line="256" w:lineRule="auto"/>
        <w:jc w:val="both"/>
        <w:rPr>
          <w:rFonts w:ascii="Arial" w:eastAsia="Arial" w:hAnsi="Arial" w:cs="Times New Roman"/>
          <w:color w:val="auto"/>
          <w:sz w:val="16"/>
          <w:szCs w:val="16"/>
          <w:lang w:val="it-IT"/>
        </w:rPr>
      </w:pPr>
      <w:r w:rsidRPr="006C79BB">
        <w:rPr>
          <w:rFonts w:ascii="Arial" w:eastAsia="Arial" w:hAnsi="Arial" w:cs="Times New Roman"/>
          <w:color w:val="auto"/>
          <w:sz w:val="16"/>
          <w:szCs w:val="16"/>
          <w:lang w:val="it-IT"/>
        </w:rPr>
        <w:t xml:space="preserve">Il presente comunicato stampa contiene dichiarazioni previsionali ai sensi dello United States Private Securities Litigation Reform Act of 1995. Le dichiarazioni previsionali possono essere generalmente identificate dall’utilizzo di termini quali “potenziale”, “potere”, “volere”, “intendere”, “è possible che”, “vorrebbe”, “aspettarsi”, “prevenire”, “cercare”, “essere impaziente di..”, “credere”, “impegnato”, “sperimentale”, “gamma di prodotti”, “lanciare” o espressioni simili, o da  discussioni espresse o implicite relative alle potenziali approvazioni di commercializzazione, nuove indicazioni o etichettature dei prodotti in corso di investigazione o approvati, descritti in questo comunicato stampa, o relative a potenziali ricavi futuri derivanti da tali prodotti. Non riporre eccessiva fiducia in queste dichiarazioni. Le dichiarazioni previsionali si basano sulle nostre attuali convinzioni e aspettative relative ad eventi futuri e sono soggette a significativi rischi noti e ignoti e a incertezze. Se uno o più di questi rischi o incertezze di dovesse verificare, oppure se le ipotesi sottostanti si rivelassero errate, i risultati effettivi potrebbero variare sostanzialmente da quelli indicati nelle dichiarazioni previsionali. Non vi può essere alcuna garanzia che i prodotti in corso di sperimentazione o approvati descritti in questo comunicato stampa saranno presentati o approvati per la vendita o per ulteriori indicazioni o etichettature in qualsiasi mercato o in qualsiasi momento. In modo particolare le nostre aspettative relativamente a tali prodotti potrebbero essere influenzate, tra le altre cose, da incognite inerenti la ricerca e lo sviluppo, compresi i risultati degli studi clinici, o ulteriori analisi di dati clinici già esistenti; atti normativi o ritardi o disposizioni regolamentari del governo in generale; tendenze globali verso il contenimento dei costi dell’assistenza sanitaria, comprese le pressioni sui prezzi e sui rimborsi del governo, dei pagatori e del pubblico in generale e gli obblighi per una maggiore trasparenza dei prezzi; la nostra capacità di ottenere o mantenere la protezione della proprietà intellettuale; le particolari preferenze prescrittive di medici </w:t>
      </w:r>
      <w:r w:rsidRPr="006C79BB">
        <w:rPr>
          <w:rFonts w:ascii="Arial" w:eastAsia="Arial" w:hAnsi="Arial" w:cs="Times New Roman"/>
          <w:color w:val="auto"/>
          <w:sz w:val="16"/>
          <w:szCs w:val="16"/>
          <w:lang w:val="it-IT"/>
        </w:rPr>
        <w:lastRenderedPageBreak/>
        <w:t>e pazienti; condizioni politiche, economiche e commerciali generali, compresi gli effetti o gli sforzi di limitare malattie pandemiche come COVID-19; problemi di sicurezza, qualità, integrità dei dati o di produzione; potenziali o effettive violazioni della sicurezza e della privacy dei dati, o interruzioni dei nostri sistemi informatici, e altri rischi e fattori a cui si fa riferimento nell’attuale modulo 20-F di Novartis AG in archivio presso la Securities and Exchange Commission degli Stati Uniti. Novartis fornisce le informazioni contenute in questo comunicato stampa così come sono alla data di oggi e non si assume l’obbligo di aggiornare le dichiarazioni previsionali contenute in questo comunicato stampa, a seguito di nuove informazioni, eventi futuri o altro.</w:t>
      </w:r>
    </w:p>
    <w:p w14:paraId="6680FB9B" w14:textId="77777777" w:rsidR="00CF24C8" w:rsidRPr="006C79BB" w:rsidRDefault="00CF24C8" w:rsidP="00CF24C8">
      <w:pPr>
        <w:spacing w:after="160" w:line="256" w:lineRule="auto"/>
        <w:jc w:val="both"/>
        <w:rPr>
          <w:rFonts w:ascii="Arial" w:eastAsia="Calibri" w:hAnsi="Arial" w:cs="Arial"/>
          <w:color w:val="auto"/>
          <w:lang w:val="it-IT" w:eastAsia="it-IT"/>
        </w:rPr>
      </w:pPr>
    </w:p>
    <w:p w14:paraId="7D4147B7" w14:textId="77777777" w:rsidR="00CF24C8" w:rsidRPr="006C79BB" w:rsidRDefault="00CF24C8" w:rsidP="00CF24C8">
      <w:pPr>
        <w:spacing w:after="160" w:line="256" w:lineRule="auto"/>
        <w:jc w:val="both"/>
        <w:rPr>
          <w:rFonts w:ascii="Arial" w:eastAsia="Calibri" w:hAnsi="Arial" w:cs="Arial"/>
          <w:b/>
          <w:bCs/>
          <w:color w:val="auto"/>
          <w:lang w:val="it-IT" w:eastAsia="it-IT"/>
        </w:rPr>
      </w:pPr>
      <w:r w:rsidRPr="006C79BB">
        <w:rPr>
          <w:rFonts w:ascii="Arial" w:eastAsia="Calibri" w:hAnsi="Arial" w:cs="Arial"/>
          <w:b/>
          <w:bCs/>
          <w:color w:val="auto"/>
          <w:lang w:val="it-IT" w:eastAsia="it-IT"/>
        </w:rPr>
        <w:t>Novartis</w:t>
      </w:r>
    </w:p>
    <w:p w14:paraId="4C693296" w14:textId="77777777" w:rsidR="00CF24C8" w:rsidRPr="006C79BB" w:rsidRDefault="00CF24C8" w:rsidP="00CF24C8">
      <w:pPr>
        <w:spacing w:after="160" w:line="256" w:lineRule="auto"/>
        <w:jc w:val="both"/>
        <w:rPr>
          <w:rFonts w:ascii="Arial" w:eastAsia="Calibri" w:hAnsi="Arial" w:cs="Arial"/>
          <w:color w:val="000000"/>
          <w:lang w:val="it-IT" w:eastAsia="it-IT"/>
        </w:rPr>
      </w:pPr>
      <w:r w:rsidRPr="006C79BB">
        <w:rPr>
          <w:rFonts w:ascii="Arial" w:eastAsia="Calibri" w:hAnsi="Arial" w:cs="Arial"/>
          <w:color w:val="000000"/>
          <w:lang w:val="it-IT" w:eastAsia="it-IT"/>
        </w:rPr>
        <w:t xml:space="preserve">Novartis è un’azienda farmaceutica focalizzata sull’innovazione. Ogni giorno lavoriamo per reimmaginare la medicina per migliorare e prolungare la vita delle persone in modo che pazienti, personale sanitario e la società nel suo complesso siano in grado di fronteggiare malattie gravi. I nostri farmaci raggiungono più di 250 milioni di persone in tutto il mondo. </w:t>
      </w:r>
    </w:p>
    <w:p w14:paraId="7AC68F1D" w14:textId="77777777" w:rsidR="00CF24C8" w:rsidRPr="006C79BB" w:rsidRDefault="00CF24C8" w:rsidP="00CF24C8">
      <w:pPr>
        <w:spacing w:after="160" w:line="256" w:lineRule="auto"/>
        <w:jc w:val="both"/>
        <w:rPr>
          <w:rFonts w:ascii="Arial" w:eastAsia="Calibri" w:hAnsi="Arial" w:cs="Arial"/>
          <w:color w:val="000000"/>
          <w:lang w:val="it-IT" w:eastAsia="it-IT"/>
        </w:rPr>
      </w:pPr>
      <w:r w:rsidRPr="006C79BB">
        <w:rPr>
          <w:rFonts w:ascii="Arial" w:eastAsia="Calibri" w:hAnsi="Arial" w:cs="Arial"/>
          <w:color w:val="000000"/>
          <w:lang w:val="it-IT" w:eastAsia="it-IT"/>
        </w:rPr>
        <w:t xml:space="preserve">Per reimmaginare la medicina con noi visita </w:t>
      </w:r>
      <w:hyperlink r:id="rId11" w:history="1">
        <w:r w:rsidRPr="006C79BB">
          <w:rPr>
            <w:rFonts w:ascii="Calibri" w:eastAsia="Calibri" w:hAnsi="Calibri" w:cs="Times New Roman"/>
            <w:color w:val="000000"/>
            <w:sz w:val="22"/>
            <w:szCs w:val="22"/>
            <w:lang w:val="it-IT" w:eastAsia="it-IT"/>
          </w:rPr>
          <w:t>www.novartis.it</w:t>
        </w:r>
      </w:hyperlink>
      <w:r w:rsidRPr="006C79BB">
        <w:rPr>
          <w:rFonts w:ascii="Arial" w:eastAsia="Calibri" w:hAnsi="Arial" w:cs="Arial"/>
          <w:color w:val="000000"/>
          <w:lang w:val="it-IT" w:eastAsia="it-IT"/>
        </w:rPr>
        <w:t xml:space="preserve"> e </w:t>
      </w:r>
      <w:hyperlink r:id="rId12" w:history="1">
        <w:r w:rsidRPr="006C79BB">
          <w:rPr>
            <w:rFonts w:ascii="Calibri" w:eastAsia="Calibri" w:hAnsi="Calibri" w:cs="Times New Roman"/>
            <w:color w:val="000000"/>
            <w:sz w:val="22"/>
            <w:szCs w:val="22"/>
            <w:lang w:val="it-IT" w:eastAsia="it-IT"/>
          </w:rPr>
          <w:t>www.novartis.com</w:t>
        </w:r>
      </w:hyperlink>
      <w:r w:rsidRPr="006C79BB">
        <w:rPr>
          <w:rFonts w:ascii="Arial" w:eastAsia="Calibri" w:hAnsi="Arial" w:cs="Arial"/>
          <w:color w:val="000000"/>
          <w:lang w:val="it-IT" w:eastAsia="it-IT"/>
        </w:rPr>
        <w:t>. @NovartisItalia è anche su X (Twitter) e LinkedIn.</w:t>
      </w:r>
    </w:p>
    <w:p w14:paraId="0E55CE3A" w14:textId="77777777" w:rsidR="00CF24C8" w:rsidRDefault="00CF24C8" w:rsidP="00CF24C8">
      <w:pPr>
        <w:spacing w:line="240" w:lineRule="auto"/>
        <w:jc w:val="both"/>
        <w:rPr>
          <w:rFonts w:ascii="Arial" w:eastAsia="Calibri" w:hAnsi="Arial" w:cs="Arial"/>
          <w:color w:val="000000"/>
          <w:lang w:val="it-IT" w:eastAsia="it-IT"/>
        </w:rPr>
      </w:pPr>
      <w:r>
        <w:rPr>
          <w:rFonts w:ascii="Arial" w:eastAsia="Calibri" w:hAnsi="Arial" w:cs="Arial"/>
          <w:color w:val="000000"/>
          <w:lang w:val="it-IT" w:eastAsia="it-IT"/>
        </w:rPr>
        <w:t xml:space="preserve">Per informazioni: </w:t>
      </w:r>
    </w:p>
    <w:p w14:paraId="75A8E8F3" w14:textId="7B7665EE" w:rsidR="00CF24C8" w:rsidRPr="00025D51" w:rsidRDefault="00CF24C8" w:rsidP="00CF24C8">
      <w:pPr>
        <w:rPr>
          <w:lang w:val="it-IT"/>
        </w:rPr>
      </w:pPr>
      <w:r w:rsidRPr="00025D51">
        <w:rPr>
          <w:lang w:val="it-IT"/>
        </w:rPr>
        <w:t>Maria Vittoria Colombo</w:t>
      </w:r>
    </w:p>
    <w:p w14:paraId="10C693D3" w14:textId="2CE428EF" w:rsidR="00CF24C8" w:rsidRDefault="00CF24C8" w:rsidP="00CF24C8">
      <w:r>
        <w:rPr>
          <w:rFonts w:ascii="Arial" w:eastAsia="Calibri" w:hAnsi="Arial" w:cs="Arial"/>
          <w:color w:val="000000"/>
          <w:lang w:eastAsia="it-IT"/>
        </w:rPr>
        <w:t>Communications &amp; Engagement Sr Manager</w:t>
      </w:r>
    </w:p>
    <w:p w14:paraId="11991CF7" w14:textId="49912EC1" w:rsidR="00CF24C8" w:rsidRDefault="00CF24C8" w:rsidP="00CF24C8">
      <w:pPr>
        <w:spacing w:line="240" w:lineRule="auto"/>
        <w:jc w:val="both"/>
        <w:rPr>
          <w:rFonts w:ascii="Arial" w:eastAsia="Calibri" w:hAnsi="Arial" w:cs="Arial"/>
          <w:color w:val="000000"/>
          <w:lang w:eastAsia="it-IT"/>
        </w:rPr>
      </w:pPr>
      <w:r>
        <w:rPr>
          <w:rFonts w:ascii="Arial" w:eastAsia="Calibri" w:hAnsi="Arial" w:cs="Arial"/>
          <w:color w:val="000000"/>
          <w:lang w:eastAsia="it-IT"/>
        </w:rPr>
        <w:t>M +39 348 1564332</w:t>
      </w:r>
    </w:p>
    <w:p w14:paraId="39F8E082" w14:textId="520E1AD1" w:rsidR="00CF24C8" w:rsidRDefault="008D0AA8" w:rsidP="00CF24C8">
      <w:pPr>
        <w:spacing w:line="240" w:lineRule="auto"/>
        <w:jc w:val="both"/>
        <w:rPr>
          <w:rFonts w:ascii="Arial" w:eastAsia="Calibri" w:hAnsi="Arial" w:cs="Arial"/>
          <w:color w:val="000000"/>
          <w:lang w:eastAsia="it-IT"/>
        </w:rPr>
      </w:pPr>
      <w:hyperlink r:id="rId13" w:history="1">
        <w:r w:rsidR="00E26622" w:rsidRPr="006074E4">
          <w:rPr>
            <w:rStyle w:val="Collegamentoipertestuale"/>
            <w:rFonts w:ascii="Arial" w:eastAsia="Calibri" w:hAnsi="Arial" w:cs="Arial"/>
            <w:lang w:eastAsia="it-IT"/>
          </w:rPr>
          <w:t>maria_vittoria.colombo@novartis.com</w:t>
        </w:r>
      </w:hyperlink>
    </w:p>
    <w:p w14:paraId="2013C45E" w14:textId="77777777" w:rsidR="00E26622" w:rsidRDefault="00E26622" w:rsidP="00CF24C8">
      <w:pPr>
        <w:spacing w:line="240" w:lineRule="auto"/>
        <w:jc w:val="both"/>
        <w:rPr>
          <w:rFonts w:ascii="Arial" w:eastAsia="Calibri" w:hAnsi="Arial" w:cs="Arial"/>
          <w:color w:val="000000"/>
          <w:lang w:eastAsia="it-IT"/>
        </w:rPr>
      </w:pPr>
    </w:p>
    <w:p w14:paraId="1BC9BE96" w14:textId="77777777" w:rsidR="00CF24C8" w:rsidRDefault="00CF24C8" w:rsidP="00CF24C8">
      <w:pPr>
        <w:rPr>
          <w:rFonts w:ascii="Arial" w:eastAsia="Calibri" w:hAnsi="Arial" w:cs="Arial"/>
          <w:color w:val="000000"/>
          <w:lang w:eastAsia="it-IT"/>
        </w:rPr>
      </w:pPr>
    </w:p>
    <w:p w14:paraId="63EE80CD" w14:textId="20CA388E" w:rsidR="00347637" w:rsidRDefault="00347637" w:rsidP="00CF24C8">
      <w:pPr>
        <w:rPr>
          <w:rFonts w:ascii="Arial" w:eastAsia="Calibri" w:hAnsi="Arial" w:cs="Arial"/>
          <w:color w:val="000000"/>
          <w:lang w:eastAsia="it-IT"/>
        </w:rPr>
      </w:pPr>
      <w:r>
        <w:rPr>
          <w:rFonts w:ascii="Arial" w:eastAsia="Calibri" w:hAnsi="Arial" w:cs="Arial"/>
          <w:color w:val="000000"/>
          <w:lang w:eastAsia="it-IT"/>
        </w:rPr>
        <w:t>Ufficio stampa</w:t>
      </w:r>
    </w:p>
    <w:p w14:paraId="535FE324" w14:textId="140554FC" w:rsidR="00347637" w:rsidRDefault="00347637" w:rsidP="00CF24C8">
      <w:pPr>
        <w:rPr>
          <w:rFonts w:ascii="Arial" w:eastAsia="Calibri" w:hAnsi="Arial" w:cs="Arial"/>
          <w:color w:val="000000"/>
          <w:lang w:eastAsia="it-IT"/>
        </w:rPr>
      </w:pPr>
      <w:r>
        <w:rPr>
          <w:rFonts w:ascii="Arial" w:eastAsia="Calibri" w:hAnsi="Arial" w:cs="Arial"/>
          <w:color w:val="000000"/>
          <w:lang w:eastAsia="it-IT"/>
        </w:rPr>
        <w:t>Intermedia</w:t>
      </w:r>
    </w:p>
    <w:p w14:paraId="50C67E3E" w14:textId="0818C623" w:rsidR="00347637" w:rsidRDefault="00347637" w:rsidP="00CF24C8">
      <w:pPr>
        <w:rPr>
          <w:rFonts w:ascii="Arial" w:eastAsia="Calibri" w:hAnsi="Arial" w:cs="Arial"/>
          <w:color w:val="000000"/>
          <w:lang w:eastAsia="it-IT"/>
        </w:rPr>
      </w:pPr>
      <w:r>
        <w:rPr>
          <w:rFonts w:ascii="Arial" w:eastAsia="Calibri" w:hAnsi="Arial" w:cs="Arial"/>
          <w:color w:val="000000"/>
          <w:lang w:eastAsia="it-IT"/>
        </w:rPr>
        <w:t>030.226105 – 3351892975 – 335265394</w:t>
      </w:r>
    </w:p>
    <w:p w14:paraId="46111D98" w14:textId="51BDF47E" w:rsidR="00347637" w:rsidRDefault="008D0AA8" w:rsidP="00CF24C8">
      <w:pPr>
        <w:rPr>
          <w:rFonts w:ascii="Arial" w:eastAsia="Calibri" w:hAnsi="Arial" w:cs="Arial"/>
          <w:color w:val="000000"/>
          <w:lang w:eastAsia="it-IT"/>
        </w:rPr>
      </w:pPr>
      <w:hyperlink r:id="rId14" w:history="1">
        <w:r w:rsidR="00347637" w:rsidRPr="001D795F">
          <w:rPr>
            <w:rStyle w:val="Collegamentoipertestuale"/>
            <w:rFonts w:ascii="Arial" w:eastAsia="Calibri" w:hAnsi="Arial" w:cs="Arial"/>
            <w:lang w:eastAsia="it-IT"/>
          </w:rPr>
          <w:t>intermedia@intermedianews.it</w:t>
        </w:r>
      </w:hyperlink>
      <w:r w:rsidR="00347637">
        <w:rPr>
          <w:rFonts w:ascii="Arial" w:eastAsia="Calibri" w:hAnsi="Arial" w:cs="Arial"/>
          <w:color w:val="000000"/>
          <w:lang w:eastAsia="it-IT"/>
        </w:rPr>
        <w:t xml:space="preserve"> </w:t>
      </w:r>
    </w:p>
    <w:p w14:paraId="2E81EBAD" w14:textId="77777777" w:rsidR="00347637" w:rsidRDefault="00347637" w:rsidP="00CF24C8"/>
    <w:p w14:paraId="518235CF" w14:textId="77777777" w:rsidR="000A6AB8" w:rsidRDefault="000A6AB8" w:rsidP="00CF24C8"/>
    <w:p w14:paraId="2A981BE9" w14:textId="77777777" w:rsidR="00CF24C8" w:rsidRPr="002125A8" w:rsidRDefault="00CF24C8" w:rsidP="00CF24C8">
      <w:pPr>
        <w:pStyle w:val="Subhead"/>
      </w:pPr>
      <w:r>
        <w:t>Bibliografia</w:t>
      </w:r>
    </w:p>
    <w:p w14:paraId="28738A0B" w14:textId="77777777" w:rsidR="00CF24C8" w:rsidRPr="00CB0A2A" w:rsidRDefault="00CF24C8" w:rsidP="00CF24C8">
      <w:pPr>
        <w:pStyle w:val="References"/>
        <w:numPr>
          <w:ilvl w:val="0"/>
          <w:numId w:val="41"/>
        </w:numPr>
        <w:ind w:left="289" w:hanging="289"/>
      </w:pPr>
      <w:r>
        <w:rPr>
          <w:rFonts w:ascii="Arial" w:hAnsi="Arial" w:cs="Arial"/>
          <w:lang w:val="fr-CH"/>
        </w:rPr>
        <w:t xml:space="preserve">Novartis Data on File. </w:t>
      </w:r>
    </w:p>
    <w:p w14:paraId="73839E03" w14:textId="77777777" w:rsidR="00CF24C8" w:rsidRPr="00CB0A2A" w:rsidRDefault="00CF24C8" w:rsidP="00CF24C8">
      <w:pPr>
        <w:pStyle w:val="References"/>
        <w:numPr>
          <w:ilvl w:val="0"/>
          <w:numId w:val="41"/>
        </w:numPr>
        <w:ind w:left="289" w:hanging="289"/>
      </w:pPr>
      <w:r w:rsidRPr="00CB0A2A">
        <w:t>Slamon D, Stroyakovskiy D, Yardley D, et al. Ribociclib and endocrine</w:t>
      </w:r>
      <w:r w:rsidRPr="00CB0A2A">
        <w:rPr>
          <w:b/>
          <w:bCs/>
        </w:rPr>
        <w:t xml:space="preserve"> </w:t>
      </w:r>
      <w:r w:rsidRPr="00CB0A2A">
        <w:t xml:space="preserve">therapy as adjuvant treatment in patients with HR+/HER2− early breast cancer: primary results from the Phase III NATALEE trial. Presented at the American Society of Clinical Oncology Annual Meeting, June 2, 2023. Chicago, USA. </w:t>
      </w:r>
    </w:p>
    <w:p w14:paraId="1B51C703" w14:textId="77777777" w:rsidR="00CF24C8" w:rsidRDefault="00CF24C8" w:rsidP="00CF24C8">
      <w:pPr>
        <w:pStyle w:val="References"/>
        <w:numPr>
          <w:ilvl w:val="0"/>
          <w:numId w:val="41"/>
        </w:numPr>
        <w:ind w:left="289" w:hanging="289"/>
      </w:pPr>
      <w:r w:rsidRPr="001246CB">
        <w:t>Fasching P, Slamon D et al. Health-related quality of life in the phase 3 NATALEE study of adjuvant ribociclib plus a NSAI vs NSAI alone in patients with HR+/HER2− early breast cancer). Presentation at European Society for Medical Oncology (ESMO) Virtual Plenary on 14 September 2023.</w:t>
      </w:r>
    </w:p>
    <w:p w14:paraId="2B4C838D" w14:textId="77777777" w:rsidR="00CF24C8" w:rsidRPr="00CB0A2A" w:rsidRDefault="00CF24C8" w:rsidP="00CF24C8">
      <w:pPr>
        <w:pStyle w:val="References"/>
        <w:numPr>
          <w:ilvl w:val="0"/>
          <w:numId w:val="41"/>
        </w:numPr>
        <w:ind w:left="289" w:hanging="289"/>
      </w:pPr>
      <w:r w:rsidRPr="00166A18">
        <w:rPr>
          <w:lang w:val="it-IT"/>
        </w:rPr>
        <w:t xml:space="preserve">Iqbal J, Ginsburg O, Rochon PA, Sun P, Narod SA. </w:t>
      </w:r>
      <w:r>
        <w:t>Differences in breast cancer stage at diagnosis and cancer-specific survival by race and ethnicity in the United States [published correction appears in </w:t>
      </w:r>
      <w:r w:rsidRPr="00166A18">
        <w:rPr>
          <w:i/>
          <w:iCs/>
        </w:rPr>
        <w:t>JAMA</w:t>
      </w:r>
      <w:r>
        <w:t>. 2015 Jun 9;313(22):2287]. </w:t>
      </w:r>
      <w:r w:rsidRPr="00166A18">
        <w:rPr>
          <w:i/>
          <w:iCs/>
        </w:rPr>
        <w:t>JAMA</w:t>
      </w:r>
      <w:r>
        <w:t>. 2015;313(2):165-173. doi:10.1001/jama.2014.17322</w:t>
      </w:r>
    </w:p>
    <w:p w14:paraId="315F7A50" w14:textId="77777777" w:rsidR="00CF24C8" w:rsidRPr="00CB0A2A" w:rsidRDefault="00CF24C8" w:rsidP="00CF24C8">
      <w:pPr>
        <w:pStyle w:val="References"/>
        <w:numPr>
          <w:ilvl w:val="0"/>
          <w:numId w:val="41"/>
        </w:numPr>
        <w:ind w:left="289" w:hanging="289"/>
        <w:rPr>
          <w:shd w:val="clear" w:color="auto" w:fill="FFFFFF"/>
        </w:rPr>
      </w:pPr>
      <w:bookmarkStart w:id="2" w:name="_Hlk136342848"/>
      <w:r w:rsidRPr="00CB0A2A">
        <w:rPr>
          <w:shd w:val="clear" w:color="auto" w:fill="FFFFFF"/>
        </w:rPr>
        <w:t>Pan H, Gray R, Braybrooke J, et al; EBCTCG. 20-year risks of breast-cancer recurrence after stopping endocrine therapy at 5 years. </w:t>
      </w:r>
      <w:r w:rsidRPr="00B62A7F">
        <w:rPr>
          <w:rStyle w:val="Enfasicorsivo"/>
          <w:bdr w:val="none" w:sz="0" w:space="0" w:color="auto" w:frame="1"/>
          <w:shd w:val="clear" w:color="auto" w:fill="FFFFFF"/>
        </w:rPr>
        <w:t>N Engl J Med</w:t>
      </w:r>
      <w:r w:rsidRPr="00CB0A2A">
        <w:rPr>
          <w:shd w:val="clear" w:color="auto" w:fill="FFFFFF"/>
        </w:rPr>
        <w:t>. 2017;377(19):1836-1846. doi:10.1056/NEJMoa1701830 </w:t>
      </w:r>
    </w:p>
    <w:p w14:paraId="36E40A7B" w14:textId="77777777" w:rsidR="00CF24C8" w:rsidRPr="00CB0A2A" w:rsidRDefault="00CF24C8" w:rsidP="00CF24C8">
      <w:pPr>
        <w:pStyle w:val="References"/>
        <w:numPr>
          <w:ilvl w:val="0"/>
          <w:numId w:val="41"/>
        </w:numPr>
        <w:ind w:left="289" w:hanging="289"/>
      </w:pPr>
      <w:r w:rsidRPr="00CB0A2A">
        <w:rPr>
          <w:shd w:val="clear" w:color="auto" w:fill="FFFFFF"/>
        </w:rPr>
        <w:t>Pan H, Gray R, Braybrooke J, et al; EBCTCG. 20-year risks of breast-cancer recurrence after stopping endocrine therapy at 5 years. </w:t>
      </w:r>
      <w:r w:rsidRPr="00B62A7F">
        <w:rPr>
          <w:rStyle w:val="Enfasicorsivo"/>
          <w:bdr w:val="none" w:sz="0" w:space="0" w:color="auto" w:frame="1"/>
          <w:shd w:val="clear" w:color="auto" w:fill="FFFFFF"/>
        </w:rPr>
        <w:t>N Engl J Med</w:t>
      </w:r>
      <w:r w:rsidRPr="00CB0A2A">
        <w:rPr>
          <w:shd w:val="clear" w:color="auto" w:fill="FFFFFF"/>
        </w:rPr>
        <w:t>. 2017;377(19):1836-1846;(suppl). doi:10.1056/NEJMoa1701830 </w:t>
      </w:r>
    </w:p>
    <w:p w14:paraId="6572EC18" w14:textId="77777777" w:rsidR="00CF24C8" w:rsidRPr="002F4ACE" w:rsidRDefault="00CF24C8" w:rsidP="00CF24C8">
      <w:pPr>
        <w:pStyle w:val="References"/>
        <w:numPr>
          <w:ilvl w:val="0"/>
          <w:numId w:val="41"/>
        </w:numPr>
        <w:ind w:left="289" w:hanging="289"/>
        <w:rPr>
          <w:rStyle w:val="A6"/>
        </w:rPr>
      </w:pPr>
      <w:r w:rsidRPr="00166A18">
        <w:rPr>
          <w:rStyle w:val="A6"/>
        </w:rPr>
        <w:t>Gomis R, Gawrzak S. Tumor cell dormancy. Mol Oncol. 2017;11(1):62-78.</w:t>
      </w:r>
    </w:p>
    <w:p w14:paraId="04D845A4" w14:textId="77777777" w:rsidR="00CF24C8" w:rsidRPr="00CB0A2A" w:rsidRDefault="00CF24C8" w:rsidP="00CF24C8">
      <w:pPr>
        <w:pStyle w:val="References"/>
        <w:numPr>
          <w:ilvl w:val="0"/>
          <w:numId w:val="41"/>
        </w:numPr>
        <w:ind w:left="289" w:hanging="289"/>
      </w:pPr>
      <w:r>
        <w:t>American Cancer Society. Treatment of breast cancer stages I-III. Revised April 12, 2022. Available at: https://www.cancer.org/cancer/breast-cancer/treatment/treatment-of-breast-cancer-by-stage/treatment-of-breast-cancer-stages-i-iii.html/ Accessed August 2023.</w:t>
      </w:r>
    </w:p>
    <w:p w14:paraId="77F44DC9" w14:textId="77777777" w:rsidR="00CF24C8" w:rsidRPr="00CB0A2A" w:rsidRDefault="00CF24C8" w:rsidP="00CF24C8">
      <w:pPr>
        <w:pStyle w:val="References"/>
        <w:numPr>
          <w:ilvl w:val="0"/>
          <w:numId w:val="41"/>
        </w:numPr>
        <w:ind w:left="289" w:hanging="289"/>
        <w:rPr>
          <w:rFonts w:cstheme="minorHAnsi"/>
        </w:rPr>
      </w:pPr>
      <w:r w:rsidRPr="00166A18">
        <w:rPr>
          <w:lang w:val="es-ES"/>
        </w:rPr>
        <w:t xml:space="preserve">Yardley DA, Yap YS, et al. </w:t>
      </w:r>
      <w:r>
        <w:t>Pooled exploratory analysis of survival in patients (pts) with HR+/HER2- advanced breast cancer (ABC) and visceral metastases (mets) treated with ribociclib (RIB) + endocrine therapy (ET) in the MONALEESA (ML) trials. Poster presented at the European Society of Medical Oncology Congress. September 9-13, 2022. Paris, France.</w:t>
      </w:r>
    </w:p>
    <w:p w14:paraId="72591479" w14:textId="77777777" w:rsidR="00CF24C8" w:rsidRPr="00CB0A2A" w:rsidRDefault="00CF24C8" w:rsidP="00CF24C8">
      <w:pPr>
        <w:pStyle w:val="References"/>
        <w:numPr>
          <w:ilvl w:val="0"/>
          <w:numId w:val="41"/>
        </w:numPr>
        <w:ind w:left="289" w:hanging="289"/>
      </w:pPr>
      <w:r>
        <w:t xml:space="preserve">Neven P, Fasching PA, et al. Updated overall survival (OS) results from the </w:t>
      </w:r>
      <w:bookmarkStart w:id="3" w:name="_Int_b3G5y6Y4"/>
      <w:r>
        <w:t>first-line</w:t>
      </w:r>
      <w:bookmarkEnd w:id="3"/>
      <w:r>
        <w:t xml:space="preserve"> (1L) population in the Phase III MONALEESA-3 trial of postmenopausal patients with HR+/HER2- advanced breast cancer (ABC) treated with ribociclib (RIB) + fulvestrant (FUL). Mini oral presented at the European Society for Medical Oncology Breast Cancer Congress. May 4, 2022. Paris, France.</w:t>
      </w:r>
    </w:p>
    <w:p w14:paraId="5E735AEB" w14:textId="77777777" w:rsidR="00CF24C8" w:rsidRPr="00CB0A2A" w:rsidRDefault="00CF24C8" w:rsidP="00CF24C8">
      <w:pPr>
        <w:pStyle w:val="References"/>
        <w:numPr>
          <w:ilvl w:val="0"/>
          <w:numId w:val="41"/>
        </w:numPr>
        <w:ind w:left="289" w:hanging="289"/>
        <w:rPr>
          <w:rFonts w:cstheme="minorHAnsi"/>
        </w:rPr>
      </w:pPr>
      <w:r w:rsidRPr="00CB0A2A">
        <w:t>Hortobagyi GN, Stemmer SM, Burris HA, et al. Overall Survival with Ribociclib plus Letrozole in Advanced Breast Cancer. </w:t>
      </w:r>
      <w:r w:rsidRPr="00B62A7F">
        <w:rPr>
          <w:rStyle w:val="Enfasicorsivo"/>
          <w:spacing w:val="6"/>
          <w:bdr w:val="none" w:sz="0" w:space="0" w:color="auto" w:frame="1"/>
        </w:rPr>
        <w:t>New England Journal of Medicine</w:t>
      </w:r>
      <w:r w:rsidRPr="00CB0A2A">
        <w:t>. 2022;386(10):942-950. doi:10.1056/NEJMoa2114663 </w:t>
      </w:r>
    </w:p>
    <w:p w14:paraId="0A73D80B" w14:textId="77777777" w:rsidR="00CF24C8" w:rsidRPr="00CB0A2A" w:rsidRDefault="00CF24C8" w:rsidP="00CF24C8">
      <w:pPr>
        <w:pStyle w:val="References"/>
        <w:numPr>
          <w:ilvl w:val="0"/>
          <w:numId w:val="41"/>
        </w:numPr>
        <w:ind w:left="289" w:hanging="289"/>
      </w:pPr>
      <w:r>
        <w:lastRenderedPageBreak/>
        <w:t>Hortobagyi GN, et al. Overall survival (OS) results from the phase III MONALEESA (ML)-2 trial of postmenopausal patients with hormone receptor positive/human epidermal growth factor receptor 2 negative (HR+/HER2−) advanced breast cancer (ABC) treated with endocrine therapy (ET) ± ribociclib. Proffered paper presented at the European Society of Medical Oncology Congress, September 16-21, 2021. Lugano, Switzerland. </w:t>
      </w:r>
    </w:p>
    <w:p w14:paraId="1933DC57" w14:textId="77777777" w:rsidR="00CF24C8" w:rsidRPr="00CB0A2A" w:rsidRDefault="00CF24C8" w:rsidP="00CF24C8">
      <w:pPr>
        <w:pStyle w:val="References"/>
        <w:numPr>
          <w:ilvl w:val="0"/>
          <w:numId w:val="41"/>
        </w:numPr>
        <w:ind w:left="289" w:hanging="289"/>
        <w:rPr>
          <w:rFonts w:cstheme="minorHAnsi"/>
        </w:rPr>
      </w:pPr>
      <w:r w:rsidRPr="00CB0A2A">
        <w:t>Im S-A, Lu Y-S, Bardia A, et al. Overall survival with ribociclib plus endocrine therapy in breast cancer. </w:t>
      </w:r>
      <w:r w:rsidRPr="00B62A7F">
        <w:rPr>
          <w:rStyle w:val="Enfasicorsivo"/>
          <w:spacing w:val="6"/>
          <w:bdr w:val="none" w:sz="0" w:space="0" w:color="auto" w:frame="1"/>
        </w:rPr>
        <w:t>New England Journal of Medicine</w:t>
      </w:r>
      <w:r w:rsidRPr="00CB0A2A">
        <w:t>. 2019;381(4):307-316. doi:10.1056/nejmoa1903765</w:t>
      </w:r>
    </w:p>
    <w:p w14:paraId="7598ADE0" w14:textId="77777777" w:rsidR="00CF24C8" w:rsidRPr="00CB0A2A" w:rsidRDefault="00CF24C8" w:rsidP="00CF24C8">
      <w:pPr>
        <w:pStyle w:val="References"/>
        <w:numPr>
          <w:ilvl w:val="0"/>
          <w:numId w:val="41"/>
        </w:numPr>
        <w:ind w:left="289" w:hanging="289"/>
        <w:rPr>
          <w:rFonts w:cstheme="minorHAnsi"/>
        </w:rPr>
      </w:pPr>
      <w:r w:rsidRPr="00CB0A2A">
        <w:t>Slamon DJ, Neven P, Chia S, et al. Overall Survival with Ribociclib plus Fulvestrant in Advanced Breast Cancer. </w:t>
      </w:r>
      <w:r w:rsidRPr="00B62A7F">
        <w:rPr>
          <w:rStyle w:val="Enfasicorsivo"/>
          <w:spacing w:val="6"/>
          <w:bdr w:val="none" w:sz="0" w:space="0" w:color="auto" w:frame="1"/>
        </w:rPr>
        <w:t>New England Journal of Medicine</w:t>
      </w:r>
      <w:r w:rsidRPr="00CB0A2A">
        <w:t>. 2020;382(6):514-524. doi:10.1056/NEJMoa1911149</w:t>
      </w:r>
    </w:p>
    <w:p w14:paraId="7D535405" w14:textId="77777777" w:rsidR="00CF24C8" w:rsidRPr="00CB0A2A" w:rsidRDefault="00CF24C8" w:rsidP="00CF24C8">
      <w:pPr>
        <w:pStyle w:val="References"/>
        <w:numPr>
          <w:ilvl w:val="0"/>
          <w:numId w:val="41"/>
        </w:numPr>
        <w:ind w:left="289" w:hanging="289"/>
      </w:pPr>
      <w:r>
        <w:t>Slamon DJ, Neven P, Chia S, et al. Overall survival (OS) results of the Phase III MONALEESA-3 trial of postmenopausal patients (pts) with hormone receptor–positive (HR+), human epidermal growth factor 2–negative (HER2−) advanced breast cancer (ABC) treated with fulvestrant (FUL) ± ribociclib (RIB). Presented at the European Society of Medical Oncology Congress, September 29, 2019, Barcelona, Spain.</w:t>
      </w:r>
    </w:p>
    <w:p w14:paraId="00CB4885" w14:textId="77777777" w:rsidR="00CF24C8" w:rsidRPr="00CB0A2A" w:rsidRDefault="00CF24C8" w:rsidP="00CF24C8">
      <w:pPr>
        <w:pStyle w:val="References"/>
        <w:numPr>
          <w:ilvl w:val="0"/>
          <w:numId w:val="41"/>
        </w:numPr>
        <w:ind w:left="289" w:hanging="289"/>
        <w:rPr>
          <w:rFonts w:cstheme="minorHAnsi"/>
        </w:rPr>
      </w:pPr>
      <w:r>
        <w:t>Slamon D, Neven P, Chia S, et al. Updated overall survival (OS) results from the Phase III MONALEESA-3 trial of postmenopausal patients (pts) with HR+/HER2− advanced breast cancer (ABC) treated with fulvestrant (FUL) ± ribociclib (RIB. Presented at the American Society of Clinical Oncology Annual Meeting, June 5, 2021. Chicago, USA.</w:t>
      </w:r>
    </w:p>
    <w:p w14:paraId="11A9BDCF" w14:textId="77777777" w:rsidR="00CF24C8" w:rsidRPr="00CB0A2A" w:rsidRDefault="00CF24C8" w:rsidP="00CF24C8">
      <w:pPr>
        <w:pStyle w:val="References"/>
        <w:numPr>
          <w:ilvl w:val="0"/>
          <w:numId w:val="41"/>
        </w:numPr>
        <w:ind w:left="289" w:hanging="289"/>
        <w:rPr>
          <w:rFonts w:cstheme="minorHAnsi"/>
        </w:rPr>
      </w:pPr>
      <w:r>
        <w:t>Tripathy D, Im S-A, Colleoni M, et al. Updated overall survival (OS) results from the phase III MONALEESA-7 trial of pre- or perimenopausal patients with HR+/HER2− advanced breast cancer (ABC) treated with endocrine therapy (ET) ± ribociclib. Presented at the San Antonio Breast Cancer Symposium, December 9, 2020. Texas, USA.</w:t>
      </w:r>
    </w:p>
    <w:p w14:paraId="37E3571D" w14:textId="77777777" w:rsidR="00CF24C8" w:rsidRPr="00CB0A2A" w:rsidRDefault="00CF24C8" w:rsidP="00CF24C8">
      <w:pPr>
        <w:pStyle w:val="References"/>
        <w:numPr>
          <w:ilvl w:val="0"/>
          <w:numId w:val="41"/>
        </w:numPr>
        <w:ind w:left="289" w:hanging="289"/>
      </w:pPr>
      <w:r>
        <w:t>Yardley D, Nusch A, Yap YS, et al. Overall survival (OS) in patients (pts) with advanced breast cancer (ABC) with visceral metastases (mets), including those with liver mets, treated with ribociclib (RIB) plus endocrine therapy (ET) in the MONALEESA (ML) -3 and -7 trials. Presented at the American Society of Clinical Oncology (ASCO) Annual Meeting. June 2020. Chicago, USA.</w:t>
      </w:r>
    </w:p>
    <w:p w14:paraId="2791B942" w14:textId="77777777" w:rsidR="00CF24C8" w:rsidRPr="00CB0A2A" w:rsidRDefault="00CF24C8" w:rsidP="00CF24C8">
      <w:pPr>
        <w:pStyle w:val="References"/>
        <w:numPr>
          <w:ilvl w:val="0"/>
          <w:numId w:val="41"/>
        </w:numPr>
        <w:ind w:left="289" w:hanging="289"/>
      </w:pPr>
      <w:r>
        <w:t xml:space="preserve">O’Shaughnessy J, Stemmer SM, Burris HA, et al. Overall survival subgroup analysis by metastatic site from the Phase III MONALEESA-2 study of </w:t>
      </w:r>
      <w:bookmarkStart w:id="4" w:name="_Int_0Jny7cI0"/>
      <w:r>
        <w:t>first-line</w:t>
      </w:r>
      <w:bookmarkEnd w:id="4"/>
      <w:r>
        <w:t xml:space="preserve"> ribociclib + letrozole in postmenopausal patients with HR+/HER2− advanced breast cancer. Presented at the San Antonio Breast Cancer Symposium, December 7-10, 2021. Texas, USA.</w:t>
      </w:r>
    </w:p>
    <w:p w14:paraId="1C7CE050" w14:textId="77777777" w:rsidR="00CF24C8" w:rsidRPr="00CB0A2A" w:rsidRDefault="00CF24C8" w:rsidP="00CF24C8">
      <w:pPr>
        <w:pStyle w:val="References"/>
        <w:numPr>
          <w:ilvl w:val="0"/>
          <w:numId w:val="41"/>
        </w:numPr>
        <w:ind w:left="289" w:hanging="289"/>
        <w:rPr>
          <w:rFonts w:cstheme="minorHAnsi"/>
        </w:rPr>
      </w:pPr>
      <w:r>
        <w:t>Kisqali (ribociclib) Prescribing Information.</w:t>
      </w:r>
    </w:p>
    <w:p w14:paraId="7DB60D8A" w14:textId="77777777" w:rsidR="00CF24C8" w:rsidRPr="00CB0A2A" w:rsidRDefault="00CF24C8" w:rsidP="00CF24C8">
      <w:pPr>
        <w:pStyle w:val="References"/>
        <w:numPr>
          <w:ilvl w:val="0"/>
          <w:numId w:val="41"/>
        </w:numPr>
        <w:ind w:left="289" w:hanging="289"/>
      </w:pPr>
      <w:r w:rsidRPr="00CB0A2A">
        <w:t>NCCN Clinical Practice Guidelines in Oncology (NCCN Guidelines</w:t>
      </w:r>
      <w:r w:rsidRPr="00CB0A2A">
        <w:rPr>
          <w:bdr w:val="none" w:sz="0" w:space="0" w:color="auto" w:frame="1"/>
          <w:vertAlign w:val="superscript"/>
        </w:rPr>
        <w:t>®</w:t>
      </w:r>
      <w:r w:rsidRPr="00CB0A2A">
        <w:t xml:space="preserve">) - Breast Cancer. NCCN Guidelines. Published March 2023. Available at: </w:t>
      </w:r>
      <w:hyperlink r:id="rId15" w:history="1">
        <w:r w:rsidRPr="00B62A7F">
          <w:rPr>
            <w:spacing w:val="6"/>
            <w:bdr w:val="none" w:sz="0" w:space="0" w:color="auto" w:frame="1"/>
          </w:rPr>
          <w:t>https://www.nccn.org/professionals/physician_gls/pdf/breast.pdf</w:t>
        </w:r>
      </w:hyperlink>
      <w:r w:rsidRPr="00CB0A2A">
        <w:t>/ Accessed August 2023.</w:t>
      </w:r>
    </w:p>
    <w:p w14:paraId="4C3254FA" w14:textId="77777777" w:rsidR="00CF24C8" w:rsidRPr="00CB0A2A" w:rsidRDefault="00CF24C8" w:rsidP="00CF24C8">
      <w:pPr>
        <w:pStyle w:val="References"/>
        <w:numPr>
          <w:ilvl w:val="0"/>
          <w:numId w:val="41"/>
        </w:numPr>
        <w:ind w:left="289" w:hanging="289"/>
      </w:pPr>
      <w:r w:rsidRPr="00CB0A2A">
        <w:t>European Society for Medical Oncology – Magnitude of Clinical Benefit Scale Scorecard. Published April 20, 2020. Updated August 21, 2020. Available at: </w:t>
      </w:r>
      <w:hyperlink r:id="rId16" w:history="1">
        <w:r w:rsidRPr="00CB0A2A">
          <w:rPr>
            <w:rStyle w:val="Collegamentoipertestuale"/>
            <w:spacing w:val="6"/>
            <w:bdr w:val="none" w:sz="0" w:space="0" w:color="auto" w:frame="1"/>
          </w:rPr>
          <w:t>https://www.esmo.org/guidelines/esmo-mcbs/esmo-mcbs-scorecards/scorecard-158-1</w:t>
        </w:r>
        <w:r w:rsidRPr="00CB0A2A">
          <w:rPr>
            <w:rStyle w:val="Collegamentoipertestuale"/>
          </w:rPr>
          <w:t>/</w:t>
        </w:r>
      </w:hyperlink>
      <w:r w:rsidRPr="00CB0A2A">
        <w:t xml:space="preserve"> Accessed August 2023.</w:t>
      </w:r>
    </w:p>
    <w:p w14:paraId="41F2DFC0" w14:textId="77777777" w:rsidR="00CF24C8" w:rsidRPr="00CB0A2A" w:rsidRDefault="00CF24C8" w:rsidP="00CF24C8">
      <w:pPr>
        <w:pStyle w:val="References"/>
        <w:numPr>
          <w:ilvl w:val="0"/>
          <w:numId w:val="41"/>
        </w:numPr>
        <w:ind w:left="289" w:hanging="289"/>
      </w:pPr>
      <w:r w:rsidRPr="00CB0A2A">
        <w:t xml:space="preserve">European Society for Medical Oncology – </w:t>
      </w:r>
      <w:bookmarkStart w:id="5" w:name="_Hlk143101720"/>
      <w:r w:rsidRPr="00CB0A2A">
        <w:t xml:space="preserve">Magnitude of Clinical Benefit Scale </w:t>
      </w:r>
      <w:bookmarkEnd w:id="5"/>
      <w:r w:rsidRPr="00CB0A2A">
        <w:t xml:space="preserve">Scorecard. Published March 29, 2022. Available at: </w:t>
      </w:r>
      <w:hyperlink r:id="rId17" w:history="1">
        <w:r w:rsidRPr="00CB0A2A">
          <w:rPr>
            <w:rStyle w:val="Collegamentoipertestuale"/>
            <w:spacing w:val="6"/>
            <w:bdr w:val="none" w:sz="0" w:space="0" w:color="auto" w:frame="1"/>
          </w:rPr>
          <w:t>https://www.esmo.org/guidelines/esmo-mcbs/esmo-mcbs-scorecards/scorecard-9-1/</w:t>
        </w:r>
      </w:hyperlink>
      <w:r w:rsidRPr="00CB0A2A">
        <w:rPr>
          <w:spacing w:val="6"/>
          <w:bdr w:val="none" w:sz="0" w:space="0" w:color="auto" w:frame="1"/>
        </w:rPr>
        <w:t xml:space="preserve"> </w:t>
      </w:r>
      <w:r w:rsidRPr="00CB0A2A">
        <w:t>Accessed August 2023.</w:t>
      </w:r>
    </w:p>
    <w:p w14:paraId="1D7E95EE" w14:textId="77777777" w:rsidR="00CF24C8" w:rsidRPr="00CB0A2A" w:rsidRDefault="00CF24C8" w:rsidP="00CF24C8">
      <w:pPr>
        <w:pStyle w:val="References"/>
        <w:numPr>
          <w:ilvl w:val="0"/>
          <w:numId w:val="41"/>
        </w:numPr>
        <w:ind w:left="289" w:hanging="289"/>
      </w:pPr>
      <w:r w:rsidRPr="00CB0A2A">
        <w:t xml:space="preserve">Ribociclib vs. palbociclib in patients with advanced breast cancer within the HER2-enriched intrinsic subtype (HARMONIA). Identifier NCT05207709. Revised April 4, 2022. Available at: </w:t>
      </w:r>
      <w:hyperlink r:id="rId18" w:history="1">
        <w:r w:rsidRPr="00CB0A2A">
          <w:rPr>
            <w:rStyle w:val="Collegamentoipertestuale"/>
            <w:spacing w:val="6"/>
            <w:bdr w:val="none" w:sz="0" w:space="0" w:color="auto" w:frame="1"/>
          </w:rPr>
          <w:t>https://clinicaltrials.gov/ct2/show/NCT05207709/</w:t>
        </w:r>
      </w:hyperlink>
      <w:r w:rsidRPr="00B62A7F">
        <w:rPr>
          <w:rStyle w:val="Collegamentoipertestuale"/>
          <w:spacing w:val="6"/>
          <w:bdr w:val="none" w:sz="0" w:space="0" w:color="auto" w:frame="1"/>
        </w:rPr>
        <w:t xml:space="preserve"> </w:t>
      </w:r>
      <w:r w:rsidRPr="00CB0A2A">
        <w:t>Accessed August 2023.</w:t>
      </w:r>
    </w:p>
    <w:p w14:paraId="1C4A8263" w14:textId="77777777" w:rsidR="00CF24C8" w:rsidRPr="00CB0A2A" w:rsidRDefault="00CF24C8" w:rsidP="00CF24C8">
      <w:pPr>
        <w:pStyle w:val="References"/>
        <w:numPr>
          <w:ilvl w:val="0"/>
          <w:numId w:val="41"/>
        </w:numPr>
        <w:ind w:left="289" w:hanging="289"/>
        <w:rPr>
          <w:rStyle w:val="Collegamentoipertestuale"/>
        </w:rPr>
      </w:pPr>
      <w:r w:rsidRPr="00CB0A2A">
        <w:t xml:space="preserve">Novartis and Vestre Viken Hospital Trust (2022, April 1 – 2024, December 1). Neoadjuvant Treatment of </w:t>
      </w:r>
      <w:bookmarkStart w:id="6" w:name="_Int_IQ5G6MDc"/>
      <w:r w:rsidRPr="00CB0A2A">
        <w:t>Locally-advanced</w:t>
      </w:r>
      <w:bookmarkEnd w:id="6"/>
      <w:r w:rsidRPr="00CB0A2A">
        <w:t xml:space="preserve"> Breast Cancer Patients With Ribociclib and Letrozole (NEOLETRIB). Identifier NCT05163106. Available at: </w:t>
      </w:r>
      <w:hyperlink r:id="rId19" w:history="1">
        <w:r w:rsidRPr="00CB0A2A">
          <w:rPr>
            <w:rStyle w:val="Collegamentoipertestuale"/>
            <w:spacing w:val="6"/>
            <w:bdr w:val="none" w:sz="0" w:space="0" w:color="auto" w:frame="1"/>
          </w:rPr>
          <w:t>https://clinicaltrials.gov/ct2/show/NCT05163106/</w:t>
        </w:r>
      </w:hyperlink>
      <w:r w:rsidRPr="00B62A7F">
        <w:rPr>
          <w:rStyle w:val="Collegamentoipertestuale"/>
          <w:spacing w:val="6"/>
          <w:bdr w:val="none" w:sz="0" w:space="0" w:color="auto" w:frame="1"/>
        </w:rPr>
        <w:t xml:space="preserve"> </w:t>
      </w:r>
      <w:r w:rsidRPr="00CB0A2A">
        <w:t>Accessed August 2023.</w:t>
      </w:r>
    </w:p>
    <w:bookmarkEnd w:id="2"/>
    <w:p w14:paraId="7178C8E8" w14:textId="77777777" w:rsidR="00CF24C8" w:rsidRPr="005A2061" w:rsidRDefault="00CF24C8" w:rsidP="00CF24C8"/>
    <w:p w14:paraId="41C06E48" w14:textId="77777777" w:rsidR="00CF24C8" w:rsidRDefault="00CF24C8" w:rsidP="00CF24C8">
      <w:pPr>
        <w:jc w:val="center"/>
      </w:pPr>
    </w:p>
    <w:p w14:paraId="0E539FB1" w14:textId="77777777" w:rsidR="00CF24C8" w:rsidRPr="00CF24C8" w:rsidRDefault="00CF24C8" w:rsidP="00CF24C8">
      <w:pPr>
        <w:jc w:val="center"/>
        <w:rPr>
          <w:lang w:val="it-IT"/>
        </w:rPr>
      </w:pPr>
      <w:r w:rsidRPr="00CF24C8">
        <w:rPr>
          <w:lang w:val="it-IT"/>
        </w:rPr>
        <w:t># # #</w:t>
      </w:r>
    </w:p>
    <w:p w14:paraId="3922137B" w14:textId="77777777" w:rsidR="00CF24C8" w:rsidRPr="00CF24C8" w:rsidRDefault="00CF24C8" w:rsidP="00CF24C8">
      <w:pPr>
        <w:rPr>
          <w:lang w:val="it-IT"/>
        </w:rPr>
      </w:pPr>
    </w:p>
    <w:p w14:paraId="6B5228C7" w14:textId="77777777" w:rsidR="00CF24C8" w:rsidRDefault="00CF24C8" w:rsidP="00CF24C8">
      <w:pPr>
        <w:rPr>
          <w:lang w:val="it-IT"/>
        </w:rPr>
      </w:pPr>
    </w:p>
    <w:p w14:paraId="4A8C4324" w14:textId="79CF031B" w:rsidR="00C23BDF" w:rsidRPr="005D6491" w:rsidRDefault="00C23BDF" w:rsidP="006C79BB">
      <w:pPr>
        <w:spacing w:after="160" w:line="256" w:lineRule="auto"/>
        <w:rPr>
          <w:rStyle w:val="Enfasigrassetto"/>
          <w:rFonts w:asciiTheme="majorHAnsi" w:hAnsiTheme="majorHAnsi" w:cstheme="majorBidi"/>
          <w:b w:val="0"/>
          <w:bCs w:val="0"/>
          <w:color w:val="000000" w:themeColor="text1"/>
          <w:sz w:val="22"/>
          <w:szCs w:val="22"/>
        </w:rPr>
      </w:pPr>
    </w:p>
    <w:sectPr w:rsidR="00C23BDF" w:rsidRPr="005D6491">
      <w:headerReference w:type="default" r:id="rId20"/>
      <w:headerReference w:type="first" r:id="rId21"/>
      <w:footerReference w:type="first" r:id="rId22"/>
      <w:pgSz w:w="11906" w:h="16820"/>
      <w:pgMar w:top="624" w:right="1134" w:bottom="1559" w:left="2438" w:header="567" w:footer="567"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2790" w14:textId="77777777" w:rsidR="007440C5" w:rsidRDefault="007440C5">
      <w:pPr>
        <w:spacing w:line="240" w:lineRule="auto"/>
      </w:pPr>
      <w:r>
        <w:separator/>
      </w:r>
    </w:p>
  </w:endnote>
  <w:endnote w:type="continuationSeparator" w:id="0">
    <w:p w14:paraId="13CFACA0" w14:textId="77777777" w:rsidR="007440C5" w:rsidRDefault="007440C5">
      <w:pPr>
        <w:spacing w:line="240" w:lineRule="auto"/>
      </w:pPr>
      <w:r>
        <w:continuationSeparator/>
      </w:r>
    </w:p>
  </w:endnote>
  <w:endnote w:type="continuationNotice" w:id="1">
    <w:p w14:paraId="1D45C996" w14:textId="77777777" w:rsidR="007440C5" w:rsidRDefault="007440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Volta Modern Display 55 Rom">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25" w:type="dxa"/>
      <w:tblLook w:val="06A0" w:firstRow="1" w:lastRow="0" w:firstColumn="1" w:lastColumn="0" w:noHBand="1" w:noVBand="1"/>
    </w:tblPr>
    <w:tblGrid>
      <w:gridCol w:w="2775"/>
      <w:gridCol w:w="2775"/>
      <w:gridCol w:w="2775"/>
    </w:tblGrid>
    <w:tr w:rsidR="00B231BB" w14:paraId="50573B0E" w14:textId="77777777">
      <w:tc>
        <w:tcPr>
          <w:tcW w:w="2775" w:type="dxa"/>
          <w:shd w:val="clear" w:color="auto" w:fill="auto"/>
        </w:tcPr>
        <w:p w14:paraId="007A8C9D" w14:textId="77777777" w:rsidR="00B231BB" w:rsidRDefault="00B231BB">
          <w:pPr>
            <w:pStyle w:val="Intestazione"/>
            <w:ind w:left="-115"/>
          </w:pPr>
        </w:p>
      </w:tc>
      <w:tc>
        <w:tcPr>
          <w:tcW w:w="2775" w:type="dxa"/>
          <w:shd w:val="clear" w:color="auto" w:fill="auto"/>
        </w:tcPr>
        <w:p w14:paraId="7871250B" w14:textId="77777777" w:rsidR="00B231BB" w:rsidRDefault="00B231BB">
          <w:pPr>
            <w:pStyle w:val="Intestazione"/>
            <w:jc w:val="center"/>
          </w:pPr>
        </w:p>
      </w:tc>
      <w:tc>
        <w:tcPr>
          <w:tcW w:w="2775" w:type="dxa"/>
          <w:shd w:val="clear" w:color="auto" w:fill="auto"/>
        </w:tcPr>
        <w:p w14:paraId="27A7182D" w14:textId="77777777" w:rsidR="00B231BB" w:rsidRDefault="00B231BB">
          <w:pPr>
            <w:pStyle w:val="Intestazione"/>
            <w:ind w:right="-115"/>
            <w:jc w:val="right"/>
          </w:pPr>
        </w:p>
      </w:tc>
    </w:tr>
  </w:tbl>
  <w:p w14:paraId="3D817794" w14:textId="77777777" w:rsidR="00B231BB" w:rsidRDefault="00B231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4876" w14:textId="77777777" w:rsidR="007440C5" w:rsidRDefault="007440C5">
      <w:pPr>
        <w:spacing w:line="240" w:lineRule="auto"/>
      </w:pPr>
      <w:r>
        <w:separator/>
      </w:r>
    </w:p>
  </w:footnote>
  <w:footnote w:type="continuationSeparator" w:id="0">
    <w:p w14:paraId="7CFE7379" w14:textId="77777777" w:rsidR="007440C5" w:rsidRDefault="007440C5">
      <w:pPr>
        <w:spacing w:line="240" w:lineRule="auto"/>
      </w:pPr>
      <w:r>
        <w:continuationSeparator/>
      </w:r>
    </w:p>
  </w:footnote>
  <w:footnote w:type="continuationNotice" w:id="1">
    <w:p w14:paraId="5D96D8D0" w14:textId="77777777" w:rsidR="007440C5" w:rsidRDefault="007440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8E94" w14:textId="77777777" w:rsidR="00B231BB" w:rsidRDefault="00B231BB">
    <w:pPr>
      <w:pStyle w:val="Intestazione"/>
    </w:pPr>
  </w:p>
  <w:p w14:paraId="5EA18387" w14:textId="77777777" w:rsidR="00B231BB" w:rsidRDefault="00B231BB">
    <w:pPr>
      <w:pStyle w:val="Intestazione"/>
    </w:pPr>
  </w:p>
  <w:p w14:paraId="753FC1FC" w14:textId="77777777" w:rsidR="00B231BB" w:rsidRDefault="00B231BB">
    <w:pPr>
      <w:pStyle w:val="Intestazione"/>
    </w:pPr>
  </w:p>
  <w:p w14:paraId="2A01C8A0" w14:textId="77777777" w:rsidR="00B231BB" w:rsidRDefault="00B231BB">
    <w:pPr>
      <w:pStyle w:val="Intestazione"/>
    </w:pPr>
  </w:p>
  <w:p w14:paraId="217A6124" w14:textId="77777777" w:rsidR="00B231BB" w:rsidRDefault="00B231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A0D" w14:textId="77777777" w:rsidR="00B231BB" w:rsidRDefault="00C23B31">
    <w:pPr>
      <w:pStyle w:val="Intestazione"/>
    </w:pPr>
    <w:r>
      <w:rPr>
        <w:noProof/>
      </w:rPr>
      <mc:AlternateContent>
        <mc:Choice Requires="wps">
          <w:drawing>
            <wp:anchor distT="0" distB="0" distL="114300" distR="114300" simplePos="0" relativeHeight="251658240" behindDoc="1" locked="0" layoutInCell="1" allowOverlap="1" wp14:anchorId="29B2D7D5" wp14:editId="4D0EBDD3">
              <wp:simplePos x="0" y="0"/>
              <wp:positionH relativeFrom="page">
                <wp:posOffset>5448300</wp:posOffset>
              </wp:positionH>
              <wp:positionV relativeFrom="page">
                <wp:posOffset>831850</wp:posOffset>
              </wp:positionV>
              <wp:extent cx="1981835" cy="802005"/>
              <wp:effectExtent l="0" t="0" r="1270" b="0"/>
              <wp:wrapNone/>
              <wp:docPr id="1" name="Rectangle 1"/>
              <wp:cNvGraphicFramePr/>
              <a:graphic xmlns:a="http://schemas.openxmlformats.org/drawingml/2006/main">
                <a:graphicData uri="http://schemas.microsoft.com/office/word/2010/wordprocessingShape">
                  <wps:wsp>
                    <wps:cNvSpPr/>
                    <wps:spPr>
                      <a:xfrm>
                        <a:off x="0" y="0"/>
                        <a:ext cx="1981080" cy="8013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6F8392BC" w14:textId="77777777" w:rsidR="00B231BB" w:rsidRDefault="00C23B31">
                          <w:pPr>
                            <w:pStyle w:val="Contenutocornice"/>
                            <w:spacing w:line="200" w:lineRule="atLeast"/>
                            <w:rPr>
                              <w:rStyle w:val="Nessuno"/>
                              <w:sz w:val="16"/>
                              <w:szCs w:val="16"/>
                            </w:rPr>
                          </w:pPr>
                          <w:r>
                            <w:rPr>
                              <w:rStyle w:val="Nessuno"/>
                              <w:b/>
                              <w:bCs/>
                              <w:color w:val="0460A9"/>
                              <w:sz w:val="16"/>
                              <w:szCs w:val="16"/>
                              <w:u w:color="0460A9"/>
                            </w:rPr>
                            <w:t>Novartis Farma S.p,A.</w:t>
                          </w:r>
                          <w:r>
                            <w:rPr>
                              <w:rStyle w:val="Nessuno"/>
                              <w:b/>
                              <w:bCs/>
                              <w:color w:val="0460A9"/>
                              <w:sz w:val="16"/>
                              <w:szCs w:val="16"/>
                              <w:u w:color="0460A9"/>
                            </w:rPr>
                            <w:br/>
                          </w:r>
                          <w:r>
                            <w:rPr>
                              <w:rStyle w:val="Nessuno"/>
                              <w:sz w:val="16"/>
                              <w:szCs w:val="16"/>
                            </w:rPr>
                            <w:t>Viale Luigi Sturzo, 43</w:t>
                          </w:r>
                        </w:p>
                        <w:p w14:paraId="25A13095" w14:textId="77777777" w:rsidR="00B231BB" w:rsidRDefault="00C23B31">
                          <w:pPr>
                            <w:pStyle w:val="Contenutocornice"/>
                            <w:spacing w:line="200" w:lineRule="atLeast"/>
                            <w:rPr>
                              <w:rStyle w:val="Nessuno"/>
                              <w:b/>
                              <w:bCs/>
                              <w:color w:val="0460A9"/>
                              <w:sz w:val="16"/>
                              <w:szCs w:val="16"/>
                              <w:u w:color="0460A9"/>
                            </w:rPr>
                          </w:pPr>
                          <w:r>
                            <w:rPr>
                              <w:rStyle w:val="Nessuno"/>
                              <w:sz w:val="16"/>
                              <w:szCs w:val="16"/>
                            </w:rPr>
                            <w:t>20154 Milano</w:t>
                          </w:r>
                          <w:r>
                            <w:rPr>
                              <w:rStyle w:val="Nessuno"/>
                              <w:b/>
                              <w:bCs/>
                              <w:color w:val="0460A9"/>
                              <w:sz w:val="16"/>
                              <w:szCs w:val="16"/>
                              <w:u w:color="0460A9"/>
                            </w:rPr>
                            <w:t xml:space="preserve"> </w:t>
                          </w:r>
                        </w:p>
                        <w:p w14:paraId="1A9D14DC" w14:textId="6FC203CE" w:rsidR="00DE3016" w:rsidRDefault="00DE3016">
                          <w:pPr>
                            <w:pStyle w:val="Contenutocornice"/>
                            <w:spacing w:line="200" w:lineRule="atLeast"/>
                            <w:rPr>
                              <w:rStyle w:val="Nessuno"/>
                              <w:b/>
                              <w:bCs/>
                              <w:color w:val="0460A9"/>
                              <w:sz w:val="16"/>
                              <w:szCs w:val="16"/>
                              <w:u w:color="0460A9"/>
                            </w:rPr>
                          </w:pPr>
                        </w:p>
                        <w:p w14:paraId="2877C626" w14:textId="2C66F15E" w:rsidR="00DE3016" w:rsidRDefault="00384B02">
                          <w:pPr>
                            <w:pStyle w:val="Contenutocornice"/>
                            <w:spacing w:line="200" w:lineRule="atLeast"/>
                            <w:rPr>
                              <w:rStyle w:val="Nessuno"/>
                              <w:sz w:val="16"/>
                              <w:szCs w:val="16"/>
                            </w:rPr>
                          </w:pPr>
                          <w:r>
                            <w:rPr>
                              <w:rStyle w:val="Nessuno"/>
                              <w:sz w:val="16"/>
                              <w:szCs w:val="16"/>
                            </w:rPr>
                            <w:t>http://</w:t>
                          </w:r>
                          <w:r w:rsidR="00291CBB">
                            <w:rPr>
                              <w:rStyle w:val="Nessuno"/>
                              <w:sz w:val="16"/>
                              <w:szCs w:val="16"/>
                            </w:rPr>
                            <w:t>www.novartis.it</w:t>
                          </w:r>
                        </w:p>
                        <w:p w14:paraId="6BF883DE" w14:textId="4496C5A8" w:rsidR="00DE3016" w:rsidRPr="00DE3016" w:rsidRDefault="00291CBB">
                          <w:pPr>
                            <w:pStyle w:val="Contenutocornice"/>
                            <w:spacing w:line="200" w:lineRule="atLeast"/>
                            <w:rPr>
                              <w:rStyle w:val="Nessuno"/>
                              <w:sz w:val="16"/>
                              <w:szCs w:val="16"/>
                            </w:rPr>
                          </w:pPr>
                          <w:r>
                            <w:rPr>
                              <w:rStyle w:val="Nessuno"/>
                              <w:sz w:val="16"/>
                              <w:szCs w:val="16"/>
                            </w:rPr>
                            <w:t>https://twitter.com/novartisnews</w:t>
                          </w:r>
                        </w:p>
                        <w:p w14:paraId="33D18864" w14:textId="77777777" w:rsidR="00B231BB" w:rsidRDefault="00B231BB">
                          <w:pPr>
                            <w:pStyle w:val="Contenutocornice"/>
                            <w:spacing w:line="200" w:lineRule="atLeast"/>
                            <w:rPr>
                              <w:rStyle w:val="Nessuno"/>
                              <w:b/>
                              <w:bCs/>
                              <w:color w:val="0460A9"/>
                              <w:sz w:val="16"/>
                              <w:szCs w:val="16"/>
                              <w:u w:color="0460A9"/>
                            </w:rPr>
                          </w:pPr>
                        </w:p>
                      </w:txbxContent>
                    </wps:txbx>
                    <wps:bodyPr lIns="0" tIns="0" rIns="0" bIns="0">
                      <a:prstTxWarp prst="textNoShape">
                        <a:avLst/>
                      </a:prstTxWarp>
                      <a:noAutofit/>
                    </wps:bodyPr>
                  </wps:wsp>
                </a:graphicData>
              </a:graphic>
            </wp:anchor>
          </w:drawing>
        </mc:Choice>
        <mc:Fallback>
          <w:pict>
            <v:rect w14:anchorId="29B2D7D5" id="Rectangle 1" o:spid="_x0000_s1026" style="position:absolute;margin-left:429pt;margin-top:65.5pt;width:156.05pt;height:63.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" filled="f" stroked="f">
              <v:textbox inset="0,0,0,0">
                <w:txbxContent>
                  <w:p w14:paraId="6F8392BC" w14:textId="77777777" w:rsidR="00B231BB" w:rsidRDefault="00C23B31">
                    <w:pPr>
                      <w:pStyle w:val="Contenutocornice"/>
                      <w:spacing w:line="200" w:lineRule="atLeast"/>
                      <w:rPr>
                        <w:rStyle w:val="Nessuno"/>
                        <w:sz w:val="16"/>
                        <w:szCs w:val="16"/>
                      </w:rPr>
                    </w:pPr>
                    <w:r>
                      <w:rPr>
                        <w:rStyle w:val="Nessuno"/>
                        <w:b/>
                        <w:bCs/>
                        <w:color w:val="0460A9"/>
                        <w:sz w:val="16"/>
                        <w:szCs w:val="16"/>
                        <w:u w:color="0460A9"/>
                      </w:rPr>
                      <w:t>Novartis Farma S.p,A.</w:t>
                    </w:r>
                    <w:r>
                      <w:rPr>
                        <w:rStyle w:val="Nessuno"/>
                        <w:b/>
                        <w:bCs/>
                        <w:color w:val="0460A9"/>
                        <w:sz w:val="16"/>
                        <w:szCs w:val="16"/>
                        <w:u w:color="0460A9"/>
                      </w:rPr>
                      <w:br/>
                    </w:r>
                    <w:r>
                      <w:rPr>
                        <w:rStyle w:val="Nessuno"/>
                        <w:sz w:val="16"/>
                        <w:szCs w:val="16"/>
                      </w:rPr>
                      <w:t>Viale Luigi Sturzo, 43</w:t>
                    </w:r>
                  </w:p>
                  <w:p w14:paraId="25A13095" w14:textId="77777777" w:rsidR="00B231BB" w:rsidRDefault="00C23B31">
                    <w:pPr>
                      <w:pStyle w:val="Contenutocornice"/>
                      <w:spacing w:line="200" w:lineRule="atLeast"/>
                      <w:rPr>
                        <w:rStyle w:val="Nessuno"/>
                        <w:b/>
                        <w:bCs/>
                        <w:color w:val="0460A9"/>
                        <w:sz w:val="16"/>
                        <w:szCs w:val="16"/>
                        <w:u w:color="0460A9"/>
                      </w:rPr>
                    </w:pPr>
                    <w:r>
                      <w:rPr>
                        <w:rStyle w:val="Nessuno"/>
                        <w:sz w:val="16"/>
                        <w:szCs w:val="16"/>
                      </w:rPr>
                      <w:t>20154 Milano</w:t>
                    </w:r>
                    <w:r>
                      <w:rPr>
                        <w:rStyle w:val="Nessuno"/>
                        <w:b/>
                        <w:bCs/>
                        <w:color w:val="0460A9"/>
                        <w:sz w:val="16"/>
                        <w:szCs w:val="16"/>
                        <w:u w:color="0460A9"/>
                      </w:rPr>
                      <w:t xml:space="preserve"> </w:t>
                    </w:r>
                  </w:p>
                  <w:p w14:paraId="1A9D14DC" w14:textId="6FC203CE" w:rsidR="00DE3016" w:rsidRDefault="00DE3016">
                    <w:pPr>
                      <w:pStyle w:val="Contenutocornice"/>
                      <w:spacing w:line="200" w:lineRule="atLeast"/>
                      <w:rPr>
                        <w:rStyle w:val="Nessuno"/>
                        <w:b/>
                        <w:bCs/>
                        <w:color w:val="0460A9"/>
                        <w:sz w:val="16"/>
                        <w:szCs w:val="16"/>
                        <w:u w:color="0460A9"/>
                      </w:rPr>
                    </w:pPr>
                  </w:p>
                  <w:p w14:paraId="2877C626" w14:textId="2C66F15E" w:rsidR="00DE3016" w:rsidRDefault="00384B02">
                    <w:pPr>
                      <w:pStyle w:val="Contenutocornice"/>
                      <w:spacing w:line="200" w:lineRule="atLeast"/>
                      <w:rPr>
                        <w:rStyle w:val="Nessuno"/>
                        <w:sz w:val="16"/>
                        <w:szCs w:val="16"/>
                      </w:rPr>
                    </w:pPr>
                    <w:r>
                      <w:rPr>
                        <w:rStyle w:val="Nessuno"/>
                        <w:sz w:val="16"/>
                        <w:szCs w:val="16"/>
                      </w:rPr>
                      <w:t>http://</w:t>
                    </w:r>
                    <w:r w:rsidR="00291CBB">
                      <w:rPr>
                        <w:rStyle w:val="Nessuno"/>
                        <w:sz w:val="16"/>
                        <w:szCs w:val="16"/>
                      </w:rPr>
                      <w:t>www.novartis.it</w:t>
                    </w:r>
                  </w:p>
                  <w:p w14:paraId="6BF883DE" w14:textId="4496C5A8" w:rsidR="00DE3016" w:rsidRPr="00DE3016" w:rsidRDefault="00291CBB">
                    <w:pPr>
                      <w:pStyle w:val="Contenutocornice"/>
                      <w:spacing w:line="200" w:lineRule="atLeast"/>
                      <w:rPr>
                        <w:rStyle w:val="Nessuno"/>
                        <w:sz w:val="16"/>
                        <w:szCs w:val="16"/>
                      </w:rPr>
                    </w:pPr>
                    <w:r>
                      <w:rPr>
                        <w:rStyle w:val="Nessuno"/>
                        <w:sz w:val="16"/>
                        <w:szCs w:val="16"/>
                      </w:rPr>
                      <w:t>https://twitter.com/novartisnews</w:t>
                    </w:r>
                  </w:p>
                  <w:p w14:paraId="33D18864" w14:textId="77777777" w:rsidR="00B231BB" w:rsidRDefault="00B231BB">
                    <w:pPr>
                      <w:pStyle w:val="Contenutocornice"/>
                      <w:spacing w:line="200" w:lineRule="atLeast"/>
                      <w:rPr>
                        <w:rStyle w:val="Nessuno"/>
                        <w:b/>
                        <w:bCs/>
                        <w:color w:val="0460A9"/>
                        <w:sz w:val="16"/>
                        <w:szCs w:val="16"/>
                        <w:u w:color="0460A9"/>
                      </w:rPr>
                    </w:pPr>
                  </w:p>
                </w:txbxContent>
              </v:textbox>
              <w10:wrap anchorx="page" anchory="page"/>
            </v:rect>
          </w:pict>
        </mc:Fallback>
      </mc:AlternateContent>
    </w:r>
    <w:r>
      <w:rPr>
        <w:noProof/>
      </w:rPr>
      <mc:AlternateContent>
        <mc:Choice Requires="wpg">
          <w:drawing>
            <wp:anchor distT="0" distB="0" distL="114300" distR="114300" simplePos="0" relativeHeight="251658241" behindDoc="1" locked="0" layoutInCell="1" allowOverlap="1" wp14:anchorId="49953160" wp14:editId="7B941506">
              <wp:simplePos x="0" y="0"/>
              <wp:positionH relativeFrom="column">
                <wp:posOffset>-1266190</wp:posOffset>
              </wp:positionH>
              <wp:positionV relativeFrom="paragraph">
                <wp:posOffset>-55245</wp:posOffset>
              </wp:positionV>
              <wp:extent cx="6976745" cy="165735"/>
              <wp:effectExtent l="0" t="0" r="0" b="7620"/>
              <wp:wrapNone/>
              <wp:docPr id="3" name="Group 3"/>
              <wp:cNvGraphicFramePr/>
              <a:graphic xmlns:a="http://schemas.openxmlformats.org/drawingml/2006/main">
                <a:graphicData uri="http://schemas.microsoft.com/office/word/2010/wordprocessingGroup">
                  <wpg:wgp>
                    <wpg:cNvGrpSpPr/>
                    <wpg:grpSpPr>
                      <a:xfrm>
                        <a:off x="0" y="0"/>
                        <a:ext cx="6976080" cy="165240"/>
                        <a:chOff x="0" y="0"/>
                        <a:chExt cx="0" cy="0"/>
                      </a:xfrm>
                    </wpg:grpSpPr>
                    <pic:pic xmlns:pic="http://schemas.openxmlformats.org/drawingml/2006/picture">
                      <pic:nvPicPr>
                        <pic:cNvPr id="2" name="Picture 65"/>
                        <pic:cNvPicPr/>
                      </pic:nvPicPr>
                      <pic:blipFill>
                        <a:blip r:embed="rId1"/>
                        <a:stretch/>
                      </pic:blipFill>
                      <pic:spPr>
                        <a:xfrm>
                          <a:off x="1260000" y="720"/>
                          <a:ext cx="5716440" cy="156960"/>
                        </a:xfrm>
                        <a:prstGeom prst="rect">
                          <a:avLst/>
                        </a:prstGeom>
                        <a:ln>
                          <a:noFill/>
                        </a:ln>
                      </pic:spPr>
                    </pic:pic>
                    <wps:wsp>
                      <wps:cNvPr id="4" name="Rettangolo 4"/>
                      <wps:cNvSpPr/>
                      <wps:spPr>
                        <a:xfrm>
                          <a:off x="0" y="0"/>
                          <a:ext cx="1257840" cy="165240"/>
                        </a:xfrm>
                        <a:prstGeom prst="rect">
                          <a:avLst/>
                        </a:prstGeom>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xmlns:arto="http://schemas.microsoft.com/office/word/2006/arto" xmlns:w16du="http://schemas.microsoft.com/office/word/2023/wordml/word16du">
          <w:pict>
            <v:group w14:anchorId="688A842F" id="Gruppo 3" o:spid="_x0000_s1026" style="position:absolute;margin-left:-99.7pt;margin-top:-4.35pt;width:549.35pt;height:13.05pt;z-index:-251658239" coordsize="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260000;top:720;width:5716440;height:156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">
                <v:imagedata r:id="rId2" o:title=""/>
              </v:shape>
              <v:rect id="Rettangolo 4" o:spid="_x0000_s1028" style="position:absolute;width:1257840;height:16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" fillcolor="#0460a9 [3204]" stroked="f" strokeweight="1pt">
                <v:stroke endcap="square"/>
              </v:rect>
            </v:group>
          </w:pict>
        </mc:Fallback>
      </mc:AlternateContent>
    </w:r>
    <w:r>
      <w:rPr>
        <w:noProof/>
      </w:rPr>
      <w:drawing>
        <wp:anchor distT="0" distB="0" distL="114300" distR="114300" simplePos="0" relativeHeight="251658242" behindDoc="1" locked="0" layoutInCell="1" allowOverlap="1" wp14:anchorId="7AF78F9F" wp14:editId="064DBE20">
          <wp:simplePos x="0" y="0"/>
          <wp:positionH relativeFrom="page">
            <wp:posOffset>1570355</wp:posOffset>
          </wp:positionH>
          <wp:positionV relativeFrom="page">
            <wp:posOffset>727710</wp:posOffset>
          </wp:positionV>
          <wp:extent cx="1810385" cy="33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3"/>
                  <pic:cNvPicPr>
                    <a:picLocks noChangeAspect="1" noChangeArrowheads="1"/>
                  </pic:cNvPicPr>
                </pic:nvPicPr>
                <pic:blipFill>
                  <a:blip r:embed="rId3"/>
                  <a:stretch>
                    <a:fillRect/>
                  </a:stretch>
                </pic:blipFill>
                <pic:spPr bwMode="auto">
                  <a:xfrm>
                    <a:off x="0" y="0"/>
                    <a:ext cx="1810385"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956"/>
    <w:multiLevelType w:val="hybridMultilevel"/>
    <w:tmpl w:val="3D7AD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40F3C"/>
    <w:multiLevelType w:val="multilevel"/>
    <w:tmpl w:val="4542463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9051C5"/>
    <w:multiLevelType w:val="multilevel"/>
    <w:tmpl w:val="51A0B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B7283"/>
    <w:multiLevelType w:val="hybridMultilevel"/>
    <w:tmpl w:val="98380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B48CE"/>
    <w:multiLevelType w:val="hybridMultilevel"/>
    <w:tmpl w:val="00A06DAC"/>
    <w:lvl w:ilvl="0" w:tplc="04100011">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9C2EFA"/>
    <w:multiLevelType w:val="hybridMultilevel"/>
    <w:tmpl w:val="E6807E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4607A0"/>
    <w:multiLevelType w:val="hybridMultilevel"/>
    <w:tmpl w:val="60EE1C84"/>
    <w:lvl w:ilvl="0" w:tplc="E25ED40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B00E4"/>
    <w:multiLevelType w:val="hybridMultilevel"/>
    <w:tmpl w:val="C3F2C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F0564"/>
    <w:multiLevelType w:val="hybridMultilevel"/>
    <w:tmpl w:val="11068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7A409B"/>
    <w:multiLevelType w:val="hybridMultilevel"/>
    <w:tmpl w:val="78003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9073E5"/>
    <w:multiLevelType w:val="hybridMultilevel"/>
    <w:tmpl w:val="DC66C08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24883D67"/>
    <w:multiLevelType w:val="multilevel"/>
    <w:tmpl w:val="BCC20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C3033"/>
    <w:multiLevelType w:val="multilevel"/>
    <w:tmpl w:val="A5E24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E74CE9"/>
    <w:multiLevelType w:val="hybridMultilevel"/>
    <w:tmpl w:val="B46AD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E33FD2"/>
    <w:multiLevelType w:val="hybridMultilevel"/>
    <w:tmpl w:val="35C07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EB53C6"/>
    <w:multiLevelType w:val="hybridMultilevel"/>
    <w:tmpl w:val="4ED80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02381F"/>
    <w:multiLevelType w:val="multilevel"/>
    <w:tmpl w:val="6A5813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7310CA2"/>
    <w:multiLevelType w:val="hybridMultilevel"/>
    <w:tmpl w:val="B75CE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7B289A"/>
    <w:multiLevelType w:val="multilevel"/>
    <w:tmpl w:val="C8A61384"/>
    <w:lvl w:ilvl="0">
      <w:start w:val="1"/>
      <w:numFmt w:val="bullet"/>
      <w:lvlText w:val="•"/>
      <w:lvlJc w:val="left"/>
      <w:pPr>
        <w:ind w:left="216" w:hanging="216"/>
      </w:pPr>
      <w:rPr>
        <w:rFonts w:ascii="Arial" w:hAnsi="Arial" w:cs="Arial" w:hint="default"/>
      </w:rPr>
    </w:lvl>
    <w:lvl w:ilvl="1">
      <w:start w:val="1"/>
      <w:numFmt w:val="bullet"/>
      <w:lvlText w:val="–"/>
      <w:lvlJc w:val="left"/>
      <w:pPr>
        <w:ind w:left="432" w:hanging="216"/>
      </w:pPr>
      <w:rPr>
        <w:rFonts w:ascii="Arial" w:hAnsi="Arial" w:cs="Arial" w:hint="default"/>
      </w:rPr>
    </w:lvl>
    <w:lvl w:ilvl="2">
      <w:start w:val="1"/>
      <w:numFmt w:val="bullet"/>
      <w:lvlText w:val="–"/>
      <w:lvlJc w:val="left"/>
      <w:pPr>
        <w:ind w:left="648" w:hanging="216"/>
      </w:pPr>
      <w:rPr>
        <w:rFonts w:ascii="Arial" w:hAnsi="Arial" w:cs="Arial" w:hint="default"/>
      </w:rPr>
    </w:lvl>
    <w:lvl w:ilvl="3">
      <w:start w:val="1"/>
      <w:numFmt w:val="bullet"/>
      <w:lvlText w:val="–"/>
      <w:lvlJc w:val="left"/>
      <w:pPr>
        <w:ind w:left="864" w:hanging="215"/>
      </w:pPr>
      <w:rPr>
        <w:rFonts w:ascii="Arial" w:hAnsi="Arial" w:cs="Arial" w:hint="default"/>
      </w:rPr>
    </w:lvl>
    <w:lvl w:ilvl="4">
      <w:start w:val="1"/>
      <w:numFmt w:val="bullet"/>
      <w:lvlText w:val="–"/>
      <w:lvlJc w:val="left"/>
      <w:pPr>
        <w:ind w:left="1080" w:hanging="216"/>
      </w:pPr>
      <w:rPr>
        <w:rFonts w:ascii="Arial" w:hAnsi="Arial" w:cs="Arial" w:hint="default"/>
      </w:rPr>
    </w:lvl>
    <w:lvl w:ilvl="5">
      <w:start w:val="1"/>
      <w:numFmt w:val="bullet"/>
      <w:lvlText w:val="–"/>
      <w:lvlJc w:val="left"/>
      <w:pPr>
        <w:ind w:left="1296" w:hanging="216"/>
      </w:pPr>
      <w:rPr>
        <w:rFonts w:ascii="Arial" w:hAnsi="Arial" w:cs="Arial" w:hint="default"/>
      </w:rPr>
    </w:lvl>
    <w:lvl w:ilvl="6">
      <w:start w:val="1"/>
      <w:numFmt w:val="bullet"/>
      <w:lvlText w:val="–"/>
      <w:lvlJc w:val="left"/>
      <w:pPr>
        <w:ind w:left="1512" w:hanging="216"/>
      </w:pPr>
      <w:rPr>
        <w:rFonts w:ascii="Arial" w:hAnsi="Arial" w:cs="Arial" w:hint="default"/>
      </w:rPr>
    </w:lvl>
    <w:lvl w:ilvl="7">
      <w:start w:val="1"/>
      <w:numFmt w:val="bullet"/>
      <w:lvlText w:val="–"/>
      <w:lvlJc w:val="left"/>
      <w:pPr>
        <w:ind w:left="1728" w:hanging="215"/>
      </w:pPr>
      <w:rPr>
        <w:rFonts w:ascii="Arial" w:hAnsi="Arial" w:cs="Arial" w:hint="default"/>
      </w:rPr>
    </w:lvl>
    <w:lvl w:ilvl="8">
      <w:start w:val="1"/>
      <w:numFmt w:val="bullet"/>
      <w:lvlText w:val="–"/>
      <w:lvlJc w:val="left"/>
      <w:pPr>
        <w:ind w:left="1944" w:hanging="216"/>
      </w:pPr>
      <w:rPr>
        <w:rFonts w:ascii="Arial" w:hAnsi="Arial" w:cs="Arial" w:hint="default"/>
      </w:rPr>
    </w:lvl>
  </w:abstractNum>
  <w:abstractNum w:abstractNumId="19" w15:restartNumberingAfterBreak="0">
    <w:nsid w:val="3A0F0916"/>
    <w:multiLevelType w:val="hybridMultilevel"/>
    <w:tmpl w:val="44D073D8"/>
    <w:lvl w:ilvl="0" w:tplc="FFFFFFFF">
      <w:start w:val="1"/>
      <w:numFmt w:val="bullet"/>
      <w:pStyle w:val="ElencoSpuntato"/>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B6E264A"/>
    <w:multiLevelType w:val="multilevel"/>
    <w:tmpl w:val="4718D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3077F7"/>
    <w:multiLevelType w:val="hybridMultilevel"/>
    <w:tmpl w:val="DAD4B2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F8697C"/>
    <w:multiLevelType w:val="hybridMultilevel"/>
    <w:tmpl w:val="166A489E"/>
    <w:lvl w:ilvl="0" w:tplc="04100001">
      <w:start w:val="1"/>
      <w:numFmt w:val="bullet"/>
      <w:lvlText w:val=""/>
      <w:lvlJc w:val="left"/>
      <w:pPr>
        <w:ind w:left="720" w:hanging="360"/>
      </w:pPr>
      <w:rPr>
        <w:rFonts w:ascii="Symbol" w:hAnsi="Symbo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6A16CD"/>
    <w:multiLevelType w:val="hybridMultilevel"/>
    <w:tmpl w:val="F654BB9A"/>
    <w:lvl w:ilvl="0" w:tplc="DC9004D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945BF8"/>
    <w:multiLevelType w:val="hybridMultilevel"/>
    <w:tmpl w:val="FFFFFFFF"/>
    <w:lvl w:ilvl="0" w:tplc="EE9A1C60">
      <w:numFmt w:val="bullet"/>
      <w:lvlText w:val=""/>
      <w:lvlJc w:val="left"/>
      <w:pPr>
        <w:ind w:left="720" w:hanging="360"/>
      </w:pPr>
      <w:rPr>
        <w:rFonts w:ascii="Wingdings" w:eastAsia="Times New Roman"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4403B9"/>
    <w:multiLevelType w:val="multilevel"/>
    <w:tmpl w:val="FBE0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A17159"/>
    <w:multiLevelType w:val="hybridMultilevel"/>
    <w:tmpl w:val="3CDE9402"/>
    <w:lvl w:ilvl="0" w:tplc="61E89194">
      <w:start w:val="18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5C7B7C"/>
    <w:multiLevelType w:val="hybridMultilevel"/>
    <w:tmpl w:val="BC2EA01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D75E8"/>
    <w:multiLevelType w:val="hybridMultilevel"/>
    <w:tmpl w:val="2EF4C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ED1C3A"/>
    <w:multiLevelType w:val="multilevel"/>
    <w:tmpl w:val="061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7F769B"/>
    <w:multiLevelType w:val="multilevel"/>
    <w:tmpl w:val="DE805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3863C92"/>
    <w:multiLevelType w:val="hybridMultilevel"/>
    <w:tmpl w:val="F55C7E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4AD735F"/>
    <w:multiLevelType w:val="hybridMultilevel"/>
    <w:tmpl w:val="9E7EE43E"/>
    <w:lvl w:ilvl="0" w:tplc="D23CE70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101C23"/>
    <w:multiLevelType w:val="hybridMultilevel"/>
    <w:tmpl w:val="6D54D0CE"/>
    <w:lvl w:ilvl="0" w:tplc="2778B4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382253">
    <w:abstractNumId w:val="1"/>
  </w:num>
  <w:num w:numId="2" w16cid:durableId="1539589488">
    <w:abstractNumId w:val="18"/>
  </w:num>
  <w:num w:numId="3" w16cid:durableId="922645389">
    <w:abstractNumId w:val="16"/>
  </w:num>
  <w:num w:numId="4" w16cid:durableId="859464417">
    <w:abstractNumId w:val="28"/>
  </w:num>
  <w:num w:numId="5" w16cid:durableId="1102721933">
    <w:abstractNumId w:val="32"/>
  </w:num>
  <w:num w:numId="6" w16cid:durableId="894702202">
    <w:abstractNumId w:val="24"/>
  </w:num>
  <w:num w:numId="7" w16cid:durableId="1724326490">
    <w:abstractNumId w:val="0"/>
  </w:num>
  <w:num w:numId="8" w16cid:durableId="1192373899">
    <w:abstractNumId w:val="8"/>
  </w:num>
  <w:num w:numId="9" w16cid:durableId="1427769982">
    <w:abstractNumId w:val="13"/>
  </w:num>
  <w:num w:numId="10" w16cid:durableId="1797480233">
    <w:abstractNumId w:val="23"/>
  </w:num>
  <w:num w:numId="11" w16cid:durableId="1207329646">
    <w:abstractNumId w:val="17"/>
  </w:num>
  <w:num w:numId="12" w16cid:durableId="342785873">
    <w:abstractNumId w:val="15"/>
  </w:num>
  <w:num w:numId="13" w16cid:durableId="1425374050">
    <w:abstractNumId w:val="21"/>
  </w:num>
  <w:num w:numId="14" w16cid:durableId="1376852776">
    <w:abstractNumId w:val="26"/>
  </w:num>
  <w:num w:numId="15" w16cid:durableId="1610701832">
    <w:abstractNumId w:val="25"/>
  </w:num>
  <w:num w:numId="16" w16cid:durableId="566041308">
    <w:abstractNumId w:val="29"/>
  </w:num>
  <w:num w:numId="17" w16cid:durableId="1666856778">
    <w:abstractNumId w:val="7"/>
  </w:num>
  <w:num w:numId="18" w16cid:durableId="232854752">
    <w:abstractNumId w:val="11"/>
  </w:num>
  <w:num w:numId="19" w16cid:durableId="848788705">
    <w:abstractNumId w:val="4"/>
  </w:num>
  <w:num w:numId="20" w16cid:durableId="2002388111">
    <w:abstractNumId w:val="14"/>
  </w:num>
  <w:num w:numId="21" w16cid:durableId="791872102">
    <w:abstractNumId w:val="3"/>
  </w:num>
  <w:num w:numId="22" w16cid:durableId="699431233">
    <w:abstractNumId w:val="5"/>
  </w:num>
  <w:num w:numId="23" w16cid:durableId="1529298218">
    <w:abstractNumId w:val="2"/>
  </w:num>
  <w:num w:numId="24" w16cid:durableId="574897938">
    <w:abstractNumId w:val="5"/>
  </w:num>
  <w:num w:numId="25" w16cid:durableId="1918242730">
    <w:abstractNumId w:val="9"/>
  </w:num>
  <w:num w:numId="26" w16cid:durableId="11305139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19348">
    <w:abstractNumId w:val="31"/>
  </w:num>
  <w:num w:numId="28" w16cid:durableId="941911533">
    <w:abstractNumId w:val="19"/>
  </w:num>
  <w:num w:numId="29" w16cid:durableId="1422943309">
    <w:abstractNumId w:val="22"/>
  </w:num>
  <w:num w:numId="30" w16cid:durableId="1086655384">
    <w:abstractNumId w:val="10"/>
  </w:num>
  <w:num w:numId="31" w16cid:durableId="1879853640">
    <w:abstractNumId w:val="6"/>
  </w:num>
  <w:num w:numId="32" w16cid:durableId="1495144434">
    <w:abstractNumId w:val="19"/>
  </w:num>
  <w:num w:numId="33" w16cid:durableId="329912847">
    <w:abstractNumId w:val="19"/>
  </w:num>
  <w:num w:numId="34" w16cid:durableId="1752970683">
    <w:abstractNumId w:val="19"/>
  </w:num>
  <w:num w:numId="35" w16cid:durableId="3664950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9800755">
    <w:abstractNumId w:val="19"/>
  </w:num>
  <w:num w:numId="37" w16cid:durableId="195756697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977255">
    <w:abstractNumId w:val="12"/>
  </w:num>
  <w:num w:numId="39" w16cid:durableId="4617324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0541999">
    <w:abstractNumId w:val="12"/>
  </w:num>
  <w:num w:numId="41" w16cid:durableId="100105324">
    <w:abstractNumId w:val="33"/>
  </w:num>
  <w:num w:numId="42" w16cid:durableId="19352868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BB"/>
    <w:rsid w:val="000015BC"/>
    <w:rsid w:val="00003D16"/>
    <w:rsid w:val="000044AF"/>
    <w:rsid w:val="00005896"/>
    <w:rsid w:val="00005C1C"/>
    <w:rsid w:val="00011ABB"/>
    <w:rsid w:val="00012DA5"/>
    <w:rsid w:val="00012DC0"/>
    <w:rsid w:val="00015D05"/>
    <w:rsid w:val="0001670D"/>
    <w:rsid w:val="0001775B"/>
    <w:rsid w:val="00020039"/>
    <w:rsid w:val="0002207E"/>
    <w:rsid w:val="000221AB"/>
    <w:rsid w:val="00023326"/>
    <w:rsid w:val="00025D51"/>
    <w:rsid w:val="00026643"/>
    <w:rsid w:val="00031996"/>
    <w:rsid w:val="00035530"/>
    <w:rsid w:val="00036F32"/>
    <w:rsid w:val="00040410"/>
    <w:rsid w:val="00040FD6"/>
    <w:rsid w:val="00043B4C"/>
    <w:rsid w:val="00044F10"/>
    <w:rsid w:val="000502A1"/>
    <w:rsid w:val="00050DA3"/>
    <w:rsid w:val="000510E7"/>
    <w:rsid w:val="000529F0"/>
    <w:rsid w:val="00054073"/>
    <w:rsid w:val="00055195"/>
    <w:rsid w:val="00055C46"/>
    <w:rsid w:val="000572A2"/>
    <w:rsid w:val="0006042C"/>
    <w:rsid w:val="00060F56"/>
    <w:rsid w:val="00063065"/>
    <w:rsid w:val="00065C79"/>
    <w:rsid w:val="00066185"/>
    <w:rsid w:val="00072EAB"/>
    <w:rsid w:val="00081177"/>
    <w:rsid w:val="00081631"/>
    <w:rsid w:val="00085607"/>
    <w:rsid w:val="000858BB"/>
    <w:rsid w:val="000866A9"/>
    <w:rsid w:val="00086E27"/>
    <w:rsid w:val="000910CC"/>
    <w:rsid w:val="00092726"/>
    <w:rsid w:val="00093B13"/>
    <w:rsid w:val="00093E05"/>
    <w:rsid w:val="000A0545"/>
    <w:rsid w:val="000A0682"/>
    <w:rsid w:val="000A1021"/>
    <w:rsid w:val="000A185C"/>
    <w:rsid w:val="000A6AB8"/>
    <w:rsid w:val="000A6CDB"/>
    <w:rsid w:val="000A7CF3"/>
    <w:rsid w:val="000B023E"/>
    <w:rsid w:val="000B151B"/>
    <w:rsid w:val="000B3A1D"/>
    <w:rsid w:val="000B53CF"/>
    <w:rsid w:val="000C1BF8"/>
    <w:rsid w:val="000C1E1E"/>
    <w:rsid w:val="000C2920"/>
    <w:rsid w:val="000C35D8"/>
    <w:rsid w:val="000C3B82"/>
    <w:rsid w:val="000C430F"/>
    <w:rsid w:val="000D0143"/>
    <w:rsid w:val="000D122D"/>
    <w:rsid w:val="000E00A8"/>
    <w:rsid w:val="000E1333"/>
    <w:rsid w:val="000E58F6"/>
    <w:rsid w:val="000E6332"/>
    <w:rsid w:val="000E645F"/>
    <w:rsid w:val="000F377E"/>
    <w:rsid w:val="000F486F"/>
    <w:rsid w:val="000F7B86"/>
    <w:rsid w:val="00102628"/>
    <w:rsid w:val="00102ECC"/>
    <w:rsid w:val="00103ECE"/>
    <w:rsid w:val="00104019"/>
    <w:rsid w:val="00105655"/>
    <w:rsid w:val="001057D0"/>
    <w:rsid w:val="00110A20"/>
    <w:rsid w:val="00122AEF"/>
    <w:rsid w:val="00123E26"/>
    <w:rsid w:val="001323D2"/>
    <w:rsid w:val="00137CF5"/>
    <w:rsid w:val="001404A7"/>
    <w:rsid w:val="00147B4D"/>
    <w:rsid w:val="00147C47"/>
    <w:rsid w:val="001518C6"/>
    <w:rsid w:val="00154191"/>
    <w:rsid w:val="0017619E"/>
    <w:rsid w:val="00176644"/>
    <w:rsid w:val="00177DB0"/>
    <w:rsid w:val="0018182E"/>
    <w:rsid w:val="00182467"/>
    <w:rsid w:val="0018285A"/>
    <w:rsid w:val="0018288E"/>
    <w:rsid w:val="0018742F"/>
    <w:rsid w:val="0019515A"/>
    <w:rsid w:val="00195A4C"/>
    <w:rsid w:val="00195B08"/>
    <w:rsid w:val="001A040D"/>
    <w:rsid w:val="001A53BE"/>
    <w:rsid w:val="001A6AAA"/>
    <w:rsid w:val="001A7B84"/>
    <w:rsid w:val="001A7D3C"/>
    <w:rsid w:val="001B14D2"/>
    <w:rsid w:val="001B1B1D"/>
    <w:rsid w:val="001B57FB"/>
    <w:rsid w:val="001B6C7E"/>
    <w:rsid w:val="001B6DA6"/>
    <w:rsid w:val="001C13AC"/>
    <w:rsid w:val="001C5022"/>
    <w:rsid w:val="001C516A"/>
    <w:rsid w:val="001C7836"/>
    <w:rsid w:val="001D398C"/>
    <w:rsid w:val="001D3D71"/>
    <w:rsid w:val="001D4296"/>
    <w:rsid w:val="001D676B"/>
    <w:rsid w:val="001D7119"/>
    <w:rsid w:val="001E3E40"/>
    <w:rsid w:val="001E7AD9"/>
    <w:rsid w:val="001F10BF"/>
    <w:rsid w:val="001F5797"/>
    <w:rsid w:val="001F79E5"/>
    <w:rsid w:val="00201D0A"/>
    <w:rsid w:val="00210E67"/>
    <w:rsid w:val="00211289"/>
    <w:rsid w:val="0021543E"/>
    <w:rsid w:val="002208B4"/>
    <w:rsid w:val="002214C4"/>
    <w:rsid w:val="002215DD"/>
    <w:rsid w:val="00225B7E"/>
    <w:rsid w:val="00226BF7"/>
    <w:rsid w:val="00230E6C"/>
    <w:rsid w:val="002324B4"/>
    <w:rsid w:val="00234E1B"/>
    <w:rsid w:val="00235A7B"/>
    <w:rsid w:val="00235B04"/>
    <w:rsid w:val="002416AA"/>
    <w:rsid w:val="002416C1"/>
    <w:rsid w:val="0024328A"/>
    <w:rsid w:val="00244468"/>
    <w:rsid w:val="00244C17"/>
    <w:rsid w:val="0024504C"/>
    <w:rsid w:val="00250ABC"/>
    <w:rsid w:val="00250CEE"/>
    <w:rsid w:val="0025265A"/>
    <w:rsid w:val="00252E93"/>
    <w:rsid w:val="00253173"/>
    <w:rsid w:val="00257C6F"/>
    <w:rsid w:val="00260C72"/>
    <w:rsid w:val="002619C7"/>
    <w:rsid w:val="002749FA"/>
    <w:rsid w:val="00274CD4"/>
    <w:rsid w:val="002757C4"/>
    <w:rsid w:val="0028097C"/>
    <w:rsid w:val="002814DA"/>
    <w:rsid w:val="00282636"/>
    <w:rsid w:val="00282913"/>
    <w:rsid w:val="00283133"/>
    <w:rsid w:val="00283E20"/>
    <w:rsid w:val="002851B6"/>
    <w:rsid w:val="00287561"/>
    <w:rsid w:val="0029030A"/>
    <w:rsid w:val="00290B11"/>
    <w:rsid w:val="00291114"/>
    <w:rsid w:val="00291CBB"/>
    <w:rsid w:val="00293D4E"/>
    <w:rsid w:val="00295397"/>
    <w:rsid w:val="002A5EEF"/>
    <w:rsid w:val="002B54E4"/>
    <w:rsid w:val="002B5B86"/>
    <w:rsid w:val="002C2E84"/>
    <w:rsid w:val="002C43A2"/>
    <w:rsid w:val="002D0530"/>
    <w:rsid w:val="002D0D55"/>
    <w:rsid w:val="002D7AE7"/>
    <w:rsid w:val="002D7CA9"/>
    <w:rsid w:val="002D7F8B"/>
    <w:rsid w:val="002E322E"/>
    <w:rsid w:val="002E3874"/>
    <w:rsid w:val="002E4C63"/>
    <w:rsid w:val="002F1A22"/>
    <w:rsid w:val="002F51DA"/>
    <w:rsid w:val="002F714E"/>
    <w:rsid w:val="00302C19"/>
    <w:rsid w:val="00303DAF"/>
    <w:rsid w:val="00304EAD"/>
    <w:rsid w:val="00306267"/>
    <w:rsid w:val="00306950"/>
    <w:rsid w:val="0031013C"/>
    <w:rsid w:val="00310D0F"/>
    <w:rsid w:val="00315C23"/>
    <w:rsid w:val="00316448"/>
    <w:rsid w:val="00316D25"/>
    <w:rsid w:val="00317618"/>
    <w:rsid w:val="00323272"/>
    <w:rsid w:val="003322AB"/>
    <w:rsid w:val="00335410"/>
    <w:rsid w:val="003357DC"/>
    <w:rsid w:val="00336DE8"/>
    <w:rsid w:val="00343A4E"/>
    <w:rsid w:val="00344891"/>
    <w:rsid w:val="003452E2"/>
    <w:rsid w:val="00347637"/>
    <w:rsid w:val="0035210F"/>
    <w:rsid w:val="0035271A"/>
    <w:rsid w:val="00353EB8"/>
    <w:rsid w:val="0035499A"/>
    <w:rsid w:val="00356175"/>
    <w:rsid w:val="00356EA6"/>
    <w:rsid w:val="00360ADE"/>
    <w:rsid w:val="003622B5"/>
    <w:rsid w:val="00364C53"/>
    <w:rsid w:val="00365B7A"/>
    <w:rsid w:val="003726A7"/>
    <w:rsid w:val="00372AA4"/>
    <w:rsid w:val="00372C8D"/>
    <w:rsid w:val="0037610C"/>
    <w:rsid w:val="003769A3"/>
    <w:rsid w:val="00380707"/>
    <w:rsid w:val="00381930"/>
    <w:rsid w:val="00384B02"/>
    <w:rsid w:val="00386157"/>
    <w:rsid w:val="0038784D"/>
    <w:rsid w:val="0039215C"/>
    <w:rsid w:val="00392D88"/>
    <w:rsid w:val="003953EC"/>
    <w:rsid w:val="0039599A"/>
    <w:rsid w:val="003A095B"/>
    <w:rsid w:val="003A1394"/>
    <w:rsid w:val="003A1C9B"/>
    <w:rsid w:val="003A322C"/>
    <w:rsid w:val="003A44B6"/>
    <w:rsid w:val="003A6187"/>
    <w:rsid w:val="003B4E08"/>
    <w:rsid w:val="003B5A3A"/>
    <w:rsid w:val="003B72D1"/>
    <w:rsid w:val="003C03AC"/>
    <w:rsid w:val="003C26CD"/>
    <w:rsid w:val="003C39B8"/>
    <w:rsid w:val="003C602E"/>
    <w:rsid w:val="003D169C"/>
    <w:rsid w:val="003D1921"/>
    <w:rsid w:val="003D5E1C"/>
    <w:rsid w:val="003D642F"/>
    <w:rsid w:val="003D6FE8"/>
    <w:rsid w:val="003E3ED6"/>
    <w:rsid w:val="003E45CC"/>
    <w:rsid w:val="003E5E50"/>
    <w:rsid w:val="003E6887"/>
    <w:rsid w:val="003E6EAE"/>
    <w:rsid w:val="003F1C90"/>
    <w:rsid w:val="003F2442"/>
    <w:rsid w:val="00405E58"/>
    <w:rsid w:val="00407E59"/>
    <w:rsid w:val="004117E9"/>
    <w:rsid w:val="00411DA8"/>
    <w:rsid w:val="004124A9"/>
    <w:rsid w:val="00414599"/>
    <w:rsid w:val="00415956"/>
    <w:rsid w:val="004160A1"/>
    <w:rsid w:val="00416340"/>
    <w:rsid w:val="00420215"/>
    <w:rsid w:val="00421DAF"/>
    <w:rsid w:val="00431099"/>
    <w:rsid w:val="004365AE"/>
    <w:rsid w:val="00437AD6"/>
    <w:rsid w:val="00437DF1"/>
    <w:rsid w:val="00443291"/>
    <w:rsid w:val="0045086F"/>
    <w:rsid w:val="00452CCA"/>
    <w:rsid w:val="004533A5"/>
    <w:rsid w:val="0045368D"/>
    <w:rsid w:val="00454C90"/>
    <w:rsid w:val="004555B9"/>
    <w:rsid w:val="00455A65"/>
    <w:rsid w:val="00455F76"/>
    <w:rsid w:val="004579C3"/>
    <w:rsid w:val="00464253"/>
    <w:rsid w:val="00464F10"/>
    <w:rsid w:val="004661DF"/>
    <w:rsid w:val="00467672"/>
    <w:rsid w:val="00470149"/>
    <w:rsid w:val="00470F6B"/>
    <w:rsid w:val="004712C5"/>
    <w:rsid w:val="00472A69"/>
    <w:rsid w:val="00473715"/>
    <w:rsid w:val="00474FE9"/>
    <w:rsid w:val="0047596E"/>
    <w:rsid w:val="00481D4E"/>
    <w:rsid w:val="00481D8A"/>
    <w:rsid w:val="0048488B"/>
    <w:rsid w:val="00487292"/>
    <w:rsid w:val="00487953"/>
    <w:rsid w:val="0049458B"/>
    <w:rsid w:val="004973A9"/>
    <w:rsid w:val="004A0350"/>
    <w:rsid w:val="004A07A8"/>
    <w:rsid w:val="004A2045"/>
    <w:rsid w:val="004A3CCE"/>
    <w:rsid w:val="004A3CF3"/>
    <w:rsid w:val="004A6E88"/>
    <w:rsid w:val="004B14A5"/>
    <w:rsid w:val="004B16F0"/>
    <w:rsid w:val="004C6369"/>
    <w:rsid w:val="004C66A2"/>
    <w:rsid w:val="004C6C71"/>
    <w:rsid w:val="004D0125"/>
    <w:rsid w:val="004D3155"/>
    <w:rsid w:val="004D7587"/>
    <w:rsid w:val="004D795A"/>
    <w:rsid w:val="004E3974"/>
    <w:rsid w:val="004E5CB0"/>
    <w:rsid w:val="004E765A"/>
    <w:rsid w:val="004F1C24"/>
    <w:rsid w:val="004F2AD1"/>
    <w:rsid w:val="004F2FA3"/>
    <w:rsid w:val="004F551B"/>
    <w:rsid w:val="004F64DA"/>
    <w:rsid w:val="00500BA6"/>
    <w:rsid w:val="0050272E"/>
    <w:rsid w:val="00502BE8"/>
    <w:rsid w:val="00505DCB"/>
    <w:rsid w:val="005068E4"/>
    <w:rsid w:val="00507D41"/>
    <w:rsid w:val="00510385"/>
    <w:rsid w:val="00510DDB"/>
    <w:rsid w:val="005116CE"/>
    <w:rsid w:val="00522960"/>
    <w:rsid w:val="00523708"/>
    <w:rsid w:val="00523FBE"/>
    <w:rsid w:val="00525B00"/>
    <w:rsid w:val="00526461"/>
    <w:rsid w:val="00526B9B"/>
    <w:rsid w:val="0052776A"/>
    <w:rsid w:val="00535DA7"/>
    <w:rsid w:val="00537195"/>
    <w:rsid w:val="00541597"/>
    <w:rsid w:val="00544318"/>
    <w:rsid w:val="00544878"/>
    <w:rsid w:val="00545DA2"/>
    <w:rsid w:val="005469C3"/>
    <w:rsid w:val="00546D04"/>
    <w:rsid w:val="00555D18"/>
    <w:rsid w:val="00556531"/>
    <w:rsid w:val="005600AA"/>
    <w:rsid w:val="00560FA3"/>
    <w:rsid w:val="00561969"/>
    <w:rsid w:val="005662B8"/>
    <w:rsid w:val="00567BA5"/>
    <w:rsid w:val="0057263C"/>
    <w:rsid w:val="00572AEB"/>
    <w:rsid w:val="00575C4C"/>
    <w:rsid w:val="00577E36"/>
    <w:rsid w:val="0058268F"/>
    <w:rsid w:val="005828E1"/>
    <w:rsid w:val="00583BD8"/>
    <w:rsid w:val="00584CB9"/>
    <w:rsid w:val="00590A8C"/>
    <w:rsid w:val="005913EC"/>
    <w:rsid w:val="00591FDF"/>
    <w:rsid w:val="005921F4"/>
    <w:rsid w:val="00595A20"/>
    <w:rsid w:val="0059675A"/>
    <w:rsid w:val="005A08C0"/>
    <w:rsid w:val="005A2D29"/>
    <w:rsid w:val="005A2F88"/>
    <w:rsid w:val="005A2FAF"/>
    <w:rsid w:val="005A3573"/>
    <w:rsid w:val="005A394F"/>
    <w:rsid w:val="005A5F51"/>
    <w:rsid w:val="005B1DCD"/>
    <w:rsid w:val="005B4896"/>
    <w:rsid w:val="005B6035"/>
    <w:rsid w:val="005B6545"/>
    <w:rsid w:val="005C0783"/>
    <w:rsid w:val="005C1AB2"/>
    <w:rsid w:val="005C20E4"/>
    <w:rsid w:val="005C4D2D"/>
    <w:rsid w:val="005C73A8"/>
    <w:rsid w:val="005C7FF3"/>
    <w:rsid w:val="005D126A"/>
    <w:rsid w:val="005D12C5"/>
    <w:rsid w:val="005D6491"/>
    <w:rsid w:val="005E069D"/>
    <w:rsid w:val="005E0B71"/>
    <w:rsid w:val="005E6802"/>
    <w:rsid w:val="005E7EC9"/>
    <w:rsid w:val="005F0B48"/>
    <w:rsid w:val="005F6477"/>
    <w:rsid w:val="005F7992"/>
    <w:rsid w:val="0060089B"/>
    <w:rsid w:val="00601F1B"/>
    <w:rsid w:val="006020D3"/>
    <w:rsid w:val="006050EF"/>
    <w:rsid w:val="00606D93"/>
    <w:rsid w:val="00607175"/>
    <w:rsid w:val="00610295"/>
    <w:rsid w:val="00617037"/>
    <w:rsid w:val="0062156E"/>
    <w:rsid w:val="006222C2"/>
    <w:rsid w:val="00624E25"/>
    <w:rsid w:val="00630171"/>
    <w:rsid w:val="00631047"/>
    <w:rsid w:val="006364C1"/>
    <w:rsid w:val="00636523"/>
    <w:rsid w:val="0064124B"/>
    <w:rsid w:val="00642301"/>
    <w:rsid w:val="006446EC"/>
    <w:rsid w:val="0064602C"/>
    <w:rsid w:val="00646B8A"/>
    <w:rsid w:val="0065238D"/>
    <w:rsid w:val="00653427"/>
    <w:rsid w:val="0065432C"/>
    <w:rsid w:val="006563EA"/>
    <w:rsid w:val="00657A32"/>
    <w:rsid w:val="00657CC1"/>
    <w:rsid w:val="00660A6F"/>
    <w:rsid w:val="00662E85"/>
    <w:rsid w:val="006728DA"/>
    <w:rsid w:val="0067685E"/>
    <w:rsid w:val="00677FDF"/>
    <w:rsid w:val="0068104B"/>
    <w:rsid w:val="006814A5"/>
    <w:rsid w:val="00682BAB"/>
    <w:rsid w:val="006859DF"/>
    <w:rsid w:val="006900C1"/>
    <w:rsid w:val="006902B7"/>
    <w:rsid w:val="006921ED"/>
    <w:rsid w:val="00694E85"/>
    <w:rsid w:val="00694ECB"/>
    <w:rsid w:val="00696904"/>
    <w:rsid w:val="00696A5D"/>
    <w:rsid w:val="006A22C5"/>
    <w:rsid w:val="006A2D6B"/>
    <w:rsid w:val="006A33BB"/>
    <w:rsid w:val="006A417F"/>
    <w:rsid w:val="006B21F8"/>
    <w:rsid w:val="006B2FEB"/>
    <w:rsid w:val="006B7799"/>
    <w:rsid w:val="006C288D"/>
    <w:rsid w:val="006C4ADA"/>
    <w:rsid w:val="006C4CF7"/>
    <w:rsid w:val="006C7814"/>
    <w:rsid w:val="006C79BB"/>
    <w:rsid w:val="006C7C83"/>
    <w:rsid w:val="006D1517"/>
    <w:rsid w:val="006D3E6F"/>
    <w:rsid w:val="006D5AE9"/>
    <w:rsid w:val="006D5BF4"/>
    <w:rsid w:val="006E789E"/>
    <w:rsid w:val="006F009C"/>
    <w:rsid w:val="006F4129"/>
    <w:rsid w:val="006F5361"/>
    <w:rsid w:val="006F566C"/>
    <w:rsid w:val="007023DE"/>
    <w:rsid w:val="00702586"/>
    <w:rsid w:val="00706A59"/>
    <w:rsid w:val="00707591"/>
    <w:rsid w:val="00707B88"/>
    <w:rsid w:val="00713590"/>
    <w:rsid w:val="00713E68"/>
    <w:rsid w:val="00714EA0"/>
    <w:rsid w:val="00717797"/>
    <w:rsid w:val="0071793E"/>
    <w:rsid w:val="00722EF4"/>
    <w:rsid w:val="00723507"/>
    <w:rsid w:val="007240CE"/>
    <w:rsid w:val="00724B86"/>
    <w:rsid w:val="00724D99"/>
    <w:rsid w:val="00724F8D"/>
    <w:rsid w:val="00725C2D"/>
    <w:rsid w:val="00726EAA"/>
    <w:rsid w:val="00730776"/>
    <w:rsid w:val="00732E1B"/>
    <w:rsid w:val="00734439"/>
    <w:rsid w:val="0073475E"/>
    <w:rsid w:val="00734AFD"/>
    <w:rsid w:val="00735EEA"/>
    <w:rsid w:val="00736807"/>
    <w:rsid w:val="007411D7"/>
    <w:rsid w:val="007420B7"/>
    <w:rsid w:val="00742114"/>
    <w:rsid w:val="007440C5"/>
    <w:rsid w:val="00746274"/>
    <w:rsid w:val="00761540"/>
    <w:rsid w:val="00762BF3"/>
    <w:rsid w:val="007669D5"/>
    <w:rsid w:val="00773A46"/>
    <w:rsid w:val="00775129"/>
    <w:rsid w:val="0077754F"/>
    <w:rsid w:val="00780473"/>
    <w:rsid w:val="00782C7C"/>
    <w:rsid w:val="00783F63"/>
    <w:rsid w:val="007851DB"/>
    <w:rsid w:val="0079150B"/>
    <w:rsid w:val="00791E56"/>
    <w:rsid w:val="00792A41"/>
    <w:rsid w:val="00792A7F"/>
    <w:rsid w:val="00792E70"/>
    <w:rsid w:val="00793D06"/>
    <w:rsid w:val="00794B6C"/>
    <w:rsid w:val="00796DCF"/>
    <w:rsid w:val="00797D1B"/>
    <w:rsid w:val="00797F53"/>
    <w:rsid w:val="007A29CA"/>
    <w:rsid w:val="007A2BD0"/>
    <w:rsid w:val="007A6814"/>
    <w:rsid w:val="007A7CD4"/>
    <w:rsid w:val="007B0A09"/>
    <w:rsid w:val="007B0D86"/>
    <w:rsid w:val="007B15DA"/>
    <w:rsid w:val="007B38F5"/>
    <w:rsid w:val="007B6127"/>
    <w:rsid w:val="007B7625"/>
    <w:rsid w:val="007C105C"/>
    <w:rsid w:val="007C25A2"/>
    <w:rsid w:val="007C2C5B"/>
    <w:rsid w:val="007C3689"/>
    <w:rsid w:val="007C39AB"/>
    <w:rsid w:val="007C4C2C"/>
    <w:rsid w:val="007C6AA5"/>
    <w:rsid w:val="007C7206"/>
    <w:rsid w:val="007C77D0"/>
    <w:rsid w:val="007C7E1F"/>
    <w:rsid w:val="007D3729"/>
    <w:rsid w:val="007D584F"/>
    <w:rsid w:val="007D6D18"/>
    <w:rsid w:val="007E04B1"/>
    <w:rsid w:val="007E0733"/>
    <w:rsid w:val="007E1CE6"/>
    <w:rsid w:val="007E2BD8"/>
    <w:rsid w:val="007E3473"/>
    <w:rsid w:val="007F175C"/>
    <w:rsid w:val="007F6345"/>
    <w:rsid w:val="00801133"/>
    <w:rsid w:val="00801183"/>
    <w:rsid w:val="0080187C"/>
    <w:rsid w:val="00802389"/>
    <w:rsid w:val="00802E4B"/>
    <w:rsid w:val="00804F0A"/>
    <w:rsid w:val="008050FA"/>
    <w:rsid w:val="00806FE9"/>
    <w:rsid w:val="0081043C"/>
    <w:rsid w:val="00810F89"/>
    <w:rsid w:val="00812E63"/>
    <w:rsid w:val="00813B0A"/>
    <w:rsid w:val="00813FF2"/>
    <w:rsid w:val="00814B43"/>
    <w:rsid w:val="008167FC"/>
    <w:rsid w:val="008174B8"/>
    <w:rsid w:val="00823A1A"/>
    <w:rsid w:val="008276B9"/>
    <w:rsid w:val="00830DFB"/>
    <w:rsid w:val="008310DF"/>
    <w:rsid w:val="008332C6"/>
    <w:rsid w:val="00837970"/>
    <w:rsid w:val="008433C6"/>
    <w:rsid w:val="00845158"/>
    <w:rsid w:val="008455BF"/>
    <w:rsid w:val="008523D4"/>
    <w:rsid w:val="00852B19"/>
    <w:rsid w:val="00861FEA"/>
    <w:rsid w:val="008677DD"/>
    <w:rsid w:val="00870FEB"/>
    <w:rsid w:val="00871819"/>
    <w:rsid w:val="008726C4"/>
    <w:rsid w:val="00876087"/>
    <w:rsid w:val="008824A8"/>
    <w:rsid w:val="00884992"/>
    <w:rsid w:val="00885506"/>
    <w:rsid w:val="00885EC5"/>
    <w:rsid w:val="008869C0"/>
    <w:rsid w:val="00886C76"/>
    <w:rsid w:val="008877F8"/>
    <w:rsid w:val="00891DB5"/>
    <w:rsid w:val="00897E8D"/>
    <w:rsid w:val="008A2DC8"/>
    <w:rsid w:val="008B0DBB"/>
    <w:rsid w:val="008B396F"/>
    <w:rsid w:val="008B4476"/>
    <w:rsid w:val="008B6AE7"/>
    <w:rsid w:val="008B7405"/>
    <w:rsid w:val="008C02AC"/>
    <w:rsid w:val="008C332C"/>
    <w:rsid w:val="008C35ED"/>
    <w:rsid w:val="008C366D"/>
    <w:rsid w:val="008C6B0B"/>
    <w:rsid w:val="008C7FE4"/>
    <w:rsid w:val="008D0AA8"/>
    <w:rsid w:val="008D0AFA"/>
    <w:rsid w:val="008D2C3B"/>
    <w:rsid w:val="008D41C5"/>
    <w:rsid w:val="008D60DB"/>
    <w:rsid w:val="008D78C0"/>
    <w:rsid w:val="008D7BD5"/>
    <w:rsid w:val="008E0F31"/>
    <w:rsid w:val="008E220E"/>
    <w:rsid w:val="008E2515"/>
    <w:rsid w:val="008F0F2E"/>
    <w:rsid w:val="008F2231"/>
    <w:rsid w:val="008F4A1B"/>
    <w:rsid w:val="008F4A27"/>
    <w:rsid w:val="008F55CD"/>
    <w:rsid w:val="00901892"/>
    <w:rsid w:val="00906C3B"/>
    <w:rsid w:val="009105E2"/>
    <w:rsid w:val="00913952"/>
    <w:rsid w:val="00914A68"/>
    <w:rsid w:val="00915347"/>
    <w:rsid w:val="009200FD"/>
    <w:rsid w:val="00921E6D"/>
    <w:rsid w:val="00925E65"/>
    <w:rsid w:val="00927474"/>
    <w:rsid w:val="00930BA3"/>
    <w:rsid w:val="009318D6"/>
    <w:rsid w:val="00935BBC"/>
    <w:rsid w:val="009360B8"/>
    <w:rsid w:val="00936B87"/>
    <w:rsid w:val="00937FED"/>
    <w:rsid w:val="00940C55"/>
    <w:rsid w:val="00942115"/>
    <w:rsid w:val="009441A4"/>
    <w:rsid w:val="00945887"/>
    <w:rsid w:val="00947517"/>
    <w:rsid w:val="00954133"/>
    <w:rsid w:val="00956DE7"/>
    <w:rsid w:val="009605E0"/>
    <w:rsid w:val="00961052"/>
    <w:rsid w:val="00961D5F"/>
    <w:rsid w:val="0096209C"/>
    <w:rsid w:val="00962203"/>
    <w:rsid w:val="0096476E"/>
    <w:rsid w:val="0096516D"/>
    <w:rsid w:val="00970C99"/>
    <w:rsid w:val="00972066"/>
    <w:rsid w:val="00972A3B"/>
    <w:rsid w:val="0097360A"/>
    <w:rsid w:val="0097676A"/>
    <w:rsid w:val="00977755"/>
    <w:rsid w:val="00980247"/>
    <w:rsid w:val="00980B59"/>
    <w:rsid w:val="009830BC"/>
    <w:rsid w:val="00985790"/>
    <w:rsid w:val="00986999"/>
    <w:rsid w:val="00986A98"/>
    <w:rsid w:val="0098769D"/>
    <w:rsid w:val="00987F76"/>
    <w:rsid w:val="00990483"/>
    <w:rsid w:val="0099132C"/>
    <w:rsid w:val="00991BC3"/>
    <w:rsid w:val="00993ADE"/>
    <w:rsid w:val="00996A58"/>
    <w:rsid w:val="00996B33"/>
    <w:rsid w:val="009A3276"/>
    <w:rsid w:val="009A3C5A"/>
    <w:rsid w:val="009A5AFA"/>
    <w:rsid w:val="009A7ACC"/>
    <w:rsid w:val="009B2187"/>
    <w:rsid w:val="009B2FE7"/>
    <w:rsid w:val="009B4250"/>
    <w:rsid w:val="009B57B6"/>
    <w:rsid w:val="009B6528"/>
    <w:rsid w:val="009B7915"/>
    <w:rsid w:val="009C25B8"/>
    <w:rsid w:val="009C262B"/>
    <w:rsid w:val="009C2C82"/>
    <w:rsid w:val="009C423A"/>
    <w:rsid w:val="009C659B"/>
    <w:rsid w:val="009C6F87"/>
    <w:rsid w:val="009C7444"/>
    <w:rsid w:val="009C79CF"/>
    <w:rsid w:val="009D1D6C"/>
    <w:rsid w:val="009D2CFC"/>
    <w:rsid w:val="009D517C"/>
    <w:rsid w:val="009D7CEF"/>
    <w:rsid w:val="009D7F8B"/>
    <w:rsid w:val="009E0356"/>
    <w:rsid w:val="009E0CF0"/>
    <w:rsid w:val="009E103A"/>
    <w:rsid w:val="009E3518"/>
    <w:rsid w:val="009E6202"/>
    <w:rsid w:val="009F2F45"/>
    <w:rsid w:val="009F32F4"/>
    <w:rsid w:val="009F4546"/>
    <w:rsid w:val="009F77CD"/>
    <w:rsid w:val="009F7C90"/>
    <w:rsid w:val="00A00284"/>
    <w:rsid w:val="00A03611"/>
    <w:rsid w:val="00A04449"/>
    <w:rsid w:val="00A06C0A"/>
    <w:rsid w:val="00A0747C"/>
    <w:rsid w:val="00A11ECE"/>
    <w:rsid w:val="00A1270C"/>
    <w:rsid w:val="00A162DE"/>
    <w:rsid w:val="00A213F8"/>
    <w:rsid w:val="00A21804"/>
    <w:rsid w:val="00A221C4"/>
    <w:rsid w:val="00A23228"/>
    <w:rsid w:val="00A26082"/>
    <w:rsid w:val="00A31DD8"/>
    <w:rsid w:val="00A36057"/>
    <w:rsid w:val="00A37C8D"/>
    <w:rsid w:val="00A411AA"/>
    <w:rsid w:val="00A41E8D"/>
    <w:rsid w:val="00A42D9F"/>
    <w:rsid w:val="00A42DDA"/>
    <w:rsid w:val="00A441D8"/>
    <w:rsid w:val="00A45651"/>
    <w:rsid w:val="00A456E3"/>
    <w:rsid w:val="00A56551"/>
    <w:rsid w:val="00A569F7"/>
    <w:rsid w:val="00A615B9"/>
    <w:rsid w:val="00A62AC5"/>
    <w:rsid w:val="00A6561B"/>
    <w:rsid w:val="00A670F9"/>
    <w:rsid w:val="00A6793C"/>
    <w:rsid w:val="00A71892"/>
    <w:rsid w:val="00A7246C"/>
    <w:rsid w:val="00A7463C"/>
    <w:rsid w:val="00A7566D"/>
    <w:rsid w:val="00A7566F"/>
    <w:rsid w:val="00A75BB9"/>
    <w:rsid w:val="00A76363"/>
    <w:rsid w:val="00A805C6"/>
    <w:rsid w:val="00A80970"/>
    <w:rsid w:val="00A813A9"/>
    <w:rsid w:val="00A816A8"/>
    <w:rsid w:val="00A8180C"/>
    <w:rsid w:val="00A82B3E"/>
    <w:rsid w:val="00A83CC4"/>
    <w:rsid w:val="00A83D98"/>
    <w:rsid w:val="00A84B3F"/>
    <w:rsid w:val="00A859C6"/>
    <w:rsid w:val="00A85F2D"/>
    <w:rsid w:val="00A905D1"/>
    <w:rsid w:val="00A9570F"/>
    <w:rsid w:val="00A96F5F"/>
    <w:rsid w:val="00AA392F"/>
    <w:rsid w:val="00AA661F"/>
    <w:rsid w:val="00AA7138"/>
    <w:rsid w:val="00AB0898"/>
    <w:rsid w:val="00AB419C"/>
    <w:rsid w:val="00AB4D33"/>
    <w:rsid w:val="00AB7617"/>
    <w:rsid w:val="00AC038D"/>
    <w:rsid w:val="00AC1672"/>
    <w:rsid w:val="00AC2217"/>
    <w:rsid w:val="00AC27F4"/>
    <w:rsid w:val="00AC7C04"/>
    <w:rsid w:val="00AD1F7E"/>
    <w:rsid w:val="00AD6775"/>
    <w:rsid w:val="00AD7761"/>
    <w:rsid w:val="00AD796A"/>
    <w:rsid w:val="00AE01B7"/>
    <w:rsid w:val="00AE391A"/>
    <w:rsid w:val="00AE442D"/>
    <w:rsid w:val="00AF00B3"/>
    <w:rsid w:val="00AF0F42"/>
    <w:rsid w:val="00AF2857"/>
    <w:rsid w:val="00AF78D0"/>
    <w:rsid w:val="00AF7956"/>
    <w:rsid w:val="00B025B8"/>
    <w:rsid w:val="00B031C2"/>
    <w:rsid w:val="00B046E9"/>
    <w:rsid w:val="00B079BB"/>
    <w:rsid w:val="00B10192"/>
    <w:rsid w:val="00B11B2C"/>
    <w:rsid w:val="00B12232"/>
    <w:rsid w:val="00B177DD"/>
    <w:rsid w:val="00B179C0"/>
    <w:rsid w:val="00B21738"/>
    <w:rsid w:val="00B231BB"/>
    <w:rsid w:val="00B25C2A"/>
    <w:rsid w:val="00B26A59"/>
    <w:rsid w:val="00B30CF8"/>
    <w:rsid w:val="00B32874"/>
    <w:rsid w:val="00B36D18"/>
    <w:rsid w:val="00B401E5"/>
    <w:rsid w:val="00B462EC"/>
    <w:rsid w:val="00B555D0"/>
    <w:rsid w:val="00B565B2"/>
    <w:rsid w:val="00B61A52"/>
    <w:rsid w:val="00B6567F"/>
    <w:rsid w:val="00B755BD"/>
    <w:rsid w:val="00B75A3B"/>
    <w:rsid w:val="00B7699D"/>
    <w:rsid w:val="00B82632"/>
    <w:rsid w:val="00B847E5"/>
    <w:rsid w:val="00B85CEC"/>
    <w:rsid w:val="00B85F22"/>
    <w:rsid w:val="00B867D4"/>
    <w:rsid w:val="00B86831"/>
    <w:rsid w:val="00B86AAF"/>
    <w:rsid w:val="00B86BAD"/>
    <w:rsid w:val="00B86C9D"/>
    <w:rsid w:val="00B90B94"/>
    <w:rsid w:val="00B90C73"/>
    <w:rsid w:val="00B96B1B"/>
    <w:rsid w:val="00BA276F"/>
    <w:rsid w:val="00BA49FF"/>
    <w:rsid w:val="00BA5760"/>
    <w:rsid w:val="00BA5F94"/>
    <w:rsid w:val="00BA6D2E"/>
    <w:rsid w:val="00BB04DB"/>
    <w:rsid w:val="00BB4A79"/>
    <w:rsid w:val="00BB4BA4"/>
    <w:rsid w:val="00BB6864"/>
    <w:rsid w:val="00BC2CC0"/>
    <w:rsid w:val="00BC35F2"/>
    <w:rsid w:val="00BC5091"/>
    <w:rsid w:val="00BC716A"/>
    <w:rsid w:val="00BD00C5"/>
    <w:rsid w:val="00BD46B8"/>
    <w:rsid w:val="00BD5595"/>
    <w:rsid w:val="00BD7B6F"/>
    <w:rsid w:val="00BE11D6"/>
    <w:rsid w:val="00BE3677"/>
    <w:rsid w:val="00BE3A70"/>
    <w:rsid w:val="00BE3DB2"/>
    <w:rsid w:val="00BF2488"/>
    <w:rsid w:val="00BF256C"/>
    <w:rsid w:val="00C007E7"/>
    <w:rsid w:val="00C03749"/>
    <w:rsid w:val="00C14B83"/>
    <w:rsid w:val="00C1562B"/>
    <w:rsid w:val="00C16EBB"/>
    <w:rsid w:val="00C21630"/>
    <w:rsid w:val="00C23B31"/>
    <w:rsid w:val="00C23BDF"/>
    <w:rsid w:val="00C269B8"/>
    <w:rsid w:val="00C27FA8"/>
    <w:rsid w:val="00C32831"/>
    <w:rsid w:val="00C360F4"/>
    <w:rsid w:val="00C3689F"/>
    <w:rsid w:val="00C3701D"/>
    <w:rsid w:val="00C37253"/>
    <w:rsid w:val="00C42BCF"/>
    <w:rsid w:val="00C45987"/>
    <w:rsid w:val="00C47F9E"/>
    <w:rsid w:val="00C508DF"/>
    <w:rsid w:val="00C543F2"/>
    <w:rsid w:val="00C55C77"/>
    <w:rsid w:val="00C60366"/>
    <w:rsid w:val="00C60596"/>
    <w:rsid w:val="00C61DC5"/>
    <w:rsid w:val="00C6333E"/>
    <w:rsid w:val="00C634BF"/>
    <w:rsid w:val="00C64413"/>
    <w:rsid w:val="00C670D3"/>
    <w:rsid w:val="00C67591"/>
    <w:rsid w:val="00C7021B"/>
    <w:rsid w:val="00C71BEA"/>
    <w:rsid w:val="00C73AB9"/>
    <w:rsid w:val="00C73F5D"/>
    <w:rsid w:val="00C75E3C"/>
    <w:rsid w:val="00C7755B"/>
    <w:rsid w:val="00C814EE"/>
    <w:rsid w:val="00C86694"/>
    <w:rsid w:val="00C8673F"/>
    <w:rsid w:val="00C918B2"/>
    <w:rsid w:val="00C93EFE"/>
    <w:rsid w:val="00C94AF3"/>
    <w:rsid w:val="00CA1029"/>
    <w:rsid w:val="00CA1B93"/>
    <w:rsid w:val="00CA4B5C"/>
    <w:rsid w:val="00CB19DD"/>
    <w:rsid w:val="00CB2065"/>
    <w:rsid w:val="00CB2265"/>
    <w:rsid w:val="00CB236A"/>
    <w:rsid w:val="00CB5AF2"/>
    <w:rsid w:val="00CC4B94"/>
    <w:rsid w:val="00CC4BAE"/>
    <w:rsid w:val="00CD45B9"/>
    <w:rsid w:val="00CD4B55"/>
    <w:rsid w:val="00CD7677"/>
    <w:rsid w:val="00CE130C"/>
    <w:rsid w:val="00CE2443"/>
    <w:rsid w:val="00CE25B4"/>
    <w:rsid w:val="00CE2896"/>
    <w:rsid w:val="00CE42EA"/>
    <w:rsid w:val="00CE5FDE"/>
    <w:rsid w:val="00CF0570"/>
    <w:rsid w:val="00CF0ECA"/>
    <w:rsid w:val="00CF24C8"/>
    <w:rsid w:val="00CF5DFE"/>
    <w:rsid w:val="00CF6A03"/>
    <w:rsid w:val="00CF6E18"/>
    <w:rsid w:val="00CF7914"/>
    <w:rsid w:val="00D03453"/>
    <w:rsid w:val="00D03E8F"/>
    <w:rsid w:val="00D04EB0"/>
    <w:rsid w:val="00D06D94"/>
    <w:rsid w:val="00D11631"/>
    <w:rsid w:val="00D12066"/>
    <w:rsid w:val="00D12D98"/>
    <w:rsid w:val="00D154C6"/>
    <w:rsid w:val="00D15D29"/>
    <w:rsid w:val="00D160F5"/>
    <w:rsid w:val="00D249DE"/>
    <w:rsid w:val="00D24F57"/>
    <w:rsid w:val="00D30AC9"/>
    <w:rsid w:val="00D30FF0"/>
    <w:rsid w:val="00D3168C"/>
    <w:rsid w:val="00D3228E"/>
    <w:rsid w:val="00D33494"/>
    <w:rsid w:val="00D3480B"/>
    <w:rsid w:val="00D3534D"/>
    <w:rsid w:val="00D36F0F"/>
    <w:rsid w:val="00D376CC"/>
    <w:rsid w:val="00D412A6"/>
    <w:rsid w:val="00D416EC"/>
    <w:rsid w:val="00D41EEC"/>
    <w:rsid w:val="00D449C7"/>
    <w:rsid w:val="00D46929"/>
    <w:rsid w:val="00D504B4"/>
    <w:rsid w:val="00D52550"/>
    <w:rsid w:val="00D5330F"/>
    <w:rsid w:val="00D57DB6"/>
    <w:rsid w:val="00D60AAC"/>
    <w:rsid w:val="00D61AE0"/>
    <w:rsid w:val="00D6420C"/>
    <w:rsid w:val="00D64B4D"/>
    <w:rsid w:val="00D70CAC"/>
    <w:rsid w:val="00D71470"/>
    <w:rsid w:val="00D72E58"/>
    <w:rsid w:val="00D72EC5"/>
    <w:rsid w:val="00D739B5"/>
    <w:rsid w:val="00D7710B"/>
    <w:rsid w:val="00D81555"/>
    <w:rsid w:val="00D8317F"/>
    <w:rsid w:val="00D90421"/>
    <w:rsid w:val="00D939E4"/>
    <w:rsid w:val="00D93C25"/>
    <w:rsid w:val="00D945FF"/>
    <w:rsid w:val="00D95846"/>
    <w:rsid w:val="00D961FB"/>
    <w:rsid w:val="00DA2569"/>
    <w:rsid w:val="00DA331F"/>
    <w:rsid w:val="00DA6321"/>
    <w:rsid w:val="00DA68B8"/>
    <w:rsid w:val="00DB02C5"/>
    <w:rsid w:val="00DB0A6D"/>
    <w:rsid w:val="00DB3C1C"/>
    <w:rsid w:val="00DB6747"/>
    <w:rsid w:val="00DB738A"/>
    <w:rsid w:val="00DB7FF5"/>
    <w:rsid w:val="00DC0C3F"/>
    <w:rsid w:val="00DC2228"/>
    <w:rsid w:val="00DC3201"/>
    <w:rsid w:val="00DC4367"/>
    <w:rsid w:val="00DC581A"/>
    <w:rsid w:val="00DC5D55"/>
    <w:rsid w:val="00DC7505"/>
    <w:rsid w:val="00DD14B8"/>
    <w:rsid w:val="00DD1DCC"/>
    <w:rsid w:val="00DD27E3"/>
    <w:rsid w:val="00DE066D"/>
    <w:rsid w:val="00DE2003"/>
    <w:rsid w:val="00DE3016"/>
    <w:rsid w:val="00DE4C16"/>
    <w:rsid w:val="00DE4EA1"/>
    <w:rsid w:val="00DE60DA"/>
    <w:rsid w:val="00DE709E"/>
    <w:rsid w:val="00DF27CC"/>
    <w:rsid w:val="00DF2B51"/>
    <w:rsid w:val="00DF3BB3"/>
    <w:rsid w:val="00DF4E3D"/>
    <w:rsid w:val="00DF6038"/>
    <w:rsid w:val="00DF604B"/>
    <w:rsid w:val="00DF667A"/>
    <w:rsid w:val="00DF74E0"/>
    <w:rsid w:val="00E06041"/>
    <w:rsid w:val="00E06749"/>
    <w:rsid w:val="00E109DB"/>
    <w:rsid w:val="00E13941"/>
    <w:rsid w:val="00E14878"/>
    <w:rsid w:val="00E1492D"/>
    <w:rsid w:val="00E15657"/>
    <w:rsid w:val="00E160C3"/>
    <w:rsid w:val="00E16BB9"/>
    <w:rsid w:val="00E17180"/>
    <w:rsid w:val="00E173C7"/>
    <w:rsid w:val="00E20349"/>
    <w:rsid w:val="00E213A5"/>
    <w:rsid w:val="00E26622"/>
    <w:rsid w:val="00E31547"/>
    <w:rsid w:val="00E33C68"/>
    <w:rsid w:val="00E37C16"/>
    <w:rsid w:val="00E43968"/>
    <w:rsid w:val="00E4528D"/>
    <w:rsid w:val="00E46E9D"/>
    <w:rsid w:val="00E46F03"/>
    <w:rsid w:val="00E513F5"/>
    <w:rsid w:val="00E5149A"/>
    <w:rsid w:val="00E550B6"/>
    <w:rsid w:val="00E55F9E"/>
    <w:rsid w:val="00E564D3"/>
    <w:rsid w:val="00E6094F"/>
    <w:rsid w:val="00E62CAA"/>
    <w:rsid w:val="00E65A51"/>
    <w:rsid w:val="00E65FBC"/>
    <w:rsid w:val="00E66E56"/>
    <w:rsid w:val="00E73448"/>
    <w:rsid w:val="00E77B7E"/>
    <w:rsid w:val="00E77F08"/>
    <w:rsid w:val="00E80B6E"/>
    <w:rsid w:val="00E81C82"/>
    <w:rsid w:val="00E83332"/>
    <w:rsid w:val="00E84D77"/>
    <w:rsid w:val="00E84E15"/>
    <w:rsid w:val="00E86FDE"/>
    <w:rsid w:val="00E87029"/>
    <w:rsid w:val="00E873B9"/>
    <w:rsid w:val="00E90C34"/>
    <w:rsid w:val="00E950C5"/>
    <w:rsid w:val="00EA135A"/>
    <w:rsid w:val="00EA284D"/>
    <w:rsid w:val="00EA31B6"/>
    <w:rsid w:val="00EA3470"/>
    <w:rsid w:val="00EA6ACB"/>
    <w:rsid w:val="00EA7653"/>
    <w:rsid w:val="00EA7934"/>
    <w:rsid w:val="00EB3DAE"/>
    <w:rsid w:val="00EB60D7"/>
    <w:rsid w:val="00EB7AD4"/>
    <w:rsid w:val="00ED0DC5"/>
    <w:rsid w:val="00ED3A1F"/>
    <w:rsid w:val="00ED41E0"/>
    <w:rsid w:val="00ED6BBD"/>
    <w:rsid w:val="00EE3821"/>
    <w:rsid w:val="00EE3E91"/>
    <w:rsid w:val="00EE4EE8"/>
    <w:rsid w:val="00EE600B"/>
    <w:rsid w:val="00EE778A"/>
    <w:rsid w:val="00EE77EC"/>
    <w:rsid w:val="00F0067B"/>
    <w:rsid w:val="00F00F8F"/>
    <w:rsid w:val="00F020A8"/>
    <w:rsid w:val="00F0383F"/>
    <w:rsid w:val="00F04101"/>
    <w:rsid w:val="00F041F5"/>
    <w:rsid w:val="00F05CAF"/>
    <w:rsid w:val="00F12FFD"/>
    <w:rsid w:val="00F16DD5"/>
    <w:rsid w:val="00F17401"/>
    <w:rsid w:val="00F22D8F"/>
    <w:rsid w:val="00F2462E"/>
    <w:rsid w:val="00F24DE7"/>
    <w:rsid w:val="00F3007E"/>
    <w:rsid w:val="00F328DB"/>
    <w:rsid w:val="00F32D15"/>
    <w:rsid w:val="00F334A8"/>
    <w:rsid w:val="00F34478"/>
    <w:rsid w:val="00F35CAD"/>
    <w:rsid w:val="00F35CC9"/>
    <w:rsid w:val="00F36162"/>
    <w:rsid w:val="00F364B1"/>
    <w:rsid w:val="00F40330"/>
    <w:rsid w:val="00F408B8"/>
    <w:rsid w:val="00F412C2"/>
    <w:rsid w:val="00F429C7"/>
    <w:rsid w:val="00F4423D"/>
    <w:rsid w:val="00F45062"/>
    <w:rsid w:val="00F636BA"/>
    <w:rsid w:val="00F64F52"/>
    <w:rsid w:val="00F678E4"/>
    <w:rsid w:val="00F74540"/>
    <w:rsid w:val="00F7791D"/>
    <w:rsid w:val="00F80B1A"/>
    <w:rsid w:val="00F837A7"/>
    <w:rsid w:val="00F84C78"/>
    <w:rsid w:val="00F85A14"/>
    <w:rsid w:val="00F86604"/>
    <w:rsid w:val="00F878D3"/>
    <w:rsid w:val="00F87AD7"/>
    <w:rsid w:val="00F908DD"/>
    <w:rsid w:val="00F92663"/>
    <w:rsid w:val="00F92F24"/>
    <w:rsid w:val="00F93F5A"/>
    <w:rsid w:val="00F97201"/>
    <w:rsid w:val="00FA01DF"/>
    <w:rsid w:val="00FA1A3E"/>
    <w:rsid w:val="00FA5155"/>
    <w:rsid w:val="00FB41D3"/>
    <w:rsid w:val="00FB585C"/>
    <w:rsid w:val="00FB7554"/>
    <w:rsid w:val="00FC5561"/>
    <w:rsid w:val="00FC7026"/>
    <w:rsid w:val="00FC78D7"/>
    <w:rsid w:val="00FD4681"/>
    <w:rsid w:val="00FD4A44"/>
    <w:rsid w:val="00FD5907"/>
    <w:rsid w:val="00FD6B77"/>
    <w:rsid w:val="00FD7182"/>
    <w:rsid w:val="00FE253C"/>
    <w:rsid w:val="00FE53E0"/>
    <w:rsid w:val="00FE6929"/>
    <w:rsid w:val="00FF13E4"/>
    <w:rsid w:val="00FF2DC3"/>
    <w:rsid w:val="00FF3201"/>
    <w:rsid w:val="053B06A9"/>
    <w:rsid w:val="05BF38CB"/>
    <w:rsid w:val="06DA7EA1"/>
    <w:rsid w:val="0BA19D0D"/>
    <w:rsid w:val="1185D98E"/>
    <w:rsid w:val="17793A5E"/>
    <w:rsid w:val="1DF6B686"/>
    <w:rsid w:val="21C8415B"/>
    <w:rsid w:val="263EFA53"/>
    <w:rsid w:val="28346B63"/>
    <w:rsid w:val="2E13D692"/>
    <w:rsid w:val="332C00F8"/>
    <w:rsid w:val="39CA79FB"/>
    <w:rsid w:val="418D2C04"/>
    <w:rsid w:val="46CAD6E3"/>
    <w:rsid w:val="4800D49D"/>
    <w:rsid w:val="50D8B50D"/>
    <w:rsid w:val="5432E322"/>
    <w:rsid w:val="55CEB383"/>
    <w:rsid w:val="581A7ED8"/>
    <w:rsid w:val="66D21B2C"/>
    <w:rsid w:val="6E203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C8FB"/>
  <w15:docId w15:val="{BDE2872D-95FA-451E-9ED6-B8EB80D2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17A2"/>
    <w:pPr>
      <w:spacing w:line="240" w:lineRule="atLeast"/>
    </w:pPr>
    <w:rPr>
      <w:color w:val="00000A"/>
      <w:szCs w:val="20"/>
    </w:rPr>
  </w:style>
  <w:style w:type="paragraph" w:styleId="Titolo1">
    <w:name w:val="heading 1"/>
    <w:basedOn w:val="Normale"/>
    <w:next w:val="Normale"/>
    <w:link w:val="Titolo1Carattere"/>
    <w:uiPriority w:val="9"/>
    <w:qFormat/>
    <w:rsid w:val="00826AA4"/>
    <w:pPr>
      <w:keepNext/>
      <w:keepLines/>
      <w:spacing w:after="240" w:line="360" w:lineRule="atLeast"/>
      <w:outlineLvl w:val="0"/>
    </w:pPr>
    <w:rPr>
      <w:rFonts w:asciiTheme="majorHAnsi" w:eastAsiaTheme="majorEastAsia" w:hAnsiTheme="majorHAnsi" w:cstheme="majorBidi"/>
      <w:b/>
      <w:bCs/>
      <w:sz w:val="32"/>
      <w:szCs w:val="32"/>
    </w:rPr>
  </w:style>
  <w:style w:type="paragraph" w:styleId="Titolo2">
    <w:name w:val="heading 2"/>
    <w:basedOn w:val="Normale"/>
    <w:next w:val="Normale"/>
    <w:link w:val="Titolo2Carattere"/>
    <w:uiPriority w:val="9"/>
    <w:qFormat/>
    <w:rsid w:val="005C639A"/>
    <w:pPr>
      <w:keepNext/>
      <w:keepLines/>
      <w:spacing w:after="60" w:line="280" w:lineRule="atLeast"/>
      <w:outlineLvl w:val="1"/>
    </w:pPr>
    <w:rPr>
      <w:rFonts w:asciiTheme="majorHAnsi" w:eastAsiaTheme="majorEastAsia" w:hAnsiTheme="majorHAnsi" w:cstheme="majorBidi"/>
      <w:b/>
      <w:bCs/>
      <w:sz w:val="24"/>
      <w:szCs w:val="24"/>
    </w:rPr>
  </w:style>
  <w:style w:type="paragraph" w:styleId="Titolo3">
    <w:name w:val="heading 3"/>
    <w:basedOn w:val="Normale"/>
    <w:next w:val="Normale"/>
    <w:link w:val="Titolo3Carattere"/>
    <w:uiPriority w:val="9"/>
    <w:qFormat/>
    <w:rsid w:val="00A16987"/>
    <w:pPr>
      <w:keepNext/>
      <w:keepLines/>
      <w:spacing w:after="60"/>
      <w:outlineLvl w:val="2"/>
    </w:pPr>
    <w:rPr>
      <w:rFonts w:asciiTheme="majorHAnsi" w:eastAsiaTheme="majorEastAsia" w:hAnsiTheme="majorHAnsi" w:cstheme="majorBidi"/>
      <w:b/>
      <w:bCs/>
      <w:color w:val="0460A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11CEB"/>
    <w:rPr>
      <w:sz w:val="20"/>
      <w:szCs w:val="20"/>
    </w:rPr>
  </w:style>
  <w:style w:type="character" w:customStyle="1" w:styleId="PidipaginaCarattere">
    <w:name w:val="Piè di pagina Carattere"/>
    <w:basedOn w:val="Carpredefinitoparagrafo"/>
    <w:link w:val="Pidipagina"/>
    <w:qFormat/>
    <w:rsid w:val="00411CEB"/>
    <w:rPr>
      <w:sz w:val="20"/>
      <w:szCs w:val="20"/>
    </w:rPr>
  </w:style>
  <w:style w:type="character" w:customStyle="1" w:styleId="CollegamentoInternet">
    <w:name w:val="Collegamento Internet"/>
    <w:basedOn w:val="Carpredefinitoparagrafo"/>
    <w:uiPriority w:val="99"/>
    <w:unhideWhenUsed/>
    <w:rsid w:val="00652B9E"/>
    <w:rPr>
      <w:color w:val="00000A"/>
      <w:u w:val="none"/>
    </w:rPr>
  </w:style>
  <w:style w:type="character" w:styleId="Collegamentovisitato">
    <w:name w:val="FollowedHyperlink"/>
    <w:basedOn w:val="Carpredefinitoparagrafo"/>
    <w:uiPriority w:val="99"/>
    <w:semiHidden/>
    <w:unhideWhenUsed/>
    <w:qFormat/>
    <w:rsid w:val="00652B9E"/>
    <w:rPr>
      <w:color w:val="00000A"/>
      <w:u w:val="none"/>
    </w:rPr>
  </w:style>
  <w:style w:type="character" w:customStyle="1" w:styleId="Titolo1Carattere">
    <w:name w:val="Titolo 1 Carattere"/>
    <w:basedOn w:val="Carpredefinitoparagrafo"/>
    <w:link w:val="Titolo1"/>
    <w:uiPriority w:val="9"/>
    <w:qFormat/>
    <w:rsid w:val="00826AA4"/>
    <w:rPr>
      <w:rFonts w:asciiTheme="majorHAnsi" w:eastAsiaTheme="majorEastAsia" w:hAnsiTheme="majorHAnsi" w:cstheme="majorBidi"/>
      <w:b/>
      <w:bCs/>
      <w:sz w:val="32"/>
      <w:szCs w:val="32"/>
    </w:rPr>
  </w:style>
  <w:style w:type="character" w:customStyle="1" w:styleId="Titolo2Carattere">
    <w:name w:val="Titolo 2 Carattere"/>
    <w:basedOn w:val="Carpredefinitoparagrafo"/>
    <w:link w:val="Titolo2"/>
    <w:uiPriority w:val="9"/>
    <w:qFormat/>
    <w:rsid w:val="00394A6C"/>
    <w:rPr>
      <w:rFonts w:asciiTheme="majorHAnsi" w:eastAsiaTheme="majorEastAsia" w:hAnsiTheme="majorHAnsi" w:cstheme="majorBidi"/>
      <w:b/>
      <w:bCs/>
      <w:sz w:val="24"/>
      <w:szCs w:val="24"/>
    </w:rPr>
  </w:style>
  <w:style w:type="character" w:customStyle="1" w:styleId="Titolo3Carattere">
    <w:name w:val="Titolo 3 Carattere"/>
    <w:basedOn w:val="Carpredefinitoparagrafo"/>
    <w:link w:val="Titolo3"/>
    <w:uiPriority w:val="9"/>
    <w:qFormat/>
    <w:rsid w:val="00A16987"/>
    <w:rPr>
      <w:rFonts w:asciiTheme="majorHAnsi" w:eastAsiaTheme="majorEastAsia" w:hAnsiTheme="majorHAnsi" w:cstheme="majorBidi"/>
      <w:b/>
      <w:bCs/>
      <w:color w:val="0460A9"/>
      <w:sz w:val="20"/>
      <w:szCs w:val="20"/>
    </w:rPr>
  </w:style>
  <w:style w:type="character" w:customStyle="1" w:styleId="UnresolvedMention1">
    <w:name w:val="Unresolved Mention1"/>
    <w:basedOn w:val="Carpredefinitoparagrafo"/>
    <w:uiPriority w:val="99"/>
    <w:semiHidden/>
    <w:unhideWhenUsed/>
    <w:qFormat/>
    <w:rsid w:val="00C94C9A"/>
    <w:rPr>
      <w:color w:val="605E5C"/>
      <w:shd w:val="clear" w:color="auto" w:fill="E1DFDD"/>
    </w:rPr>
  </w:style>
  <w:style w:type="character" w:customStyle="1" w:styleId="ParagrafoelencoCarattere">
    <w:name w:val="Paragrafo elenco Carattere"/>
    <w:aliases w:val="List with no spacing Carattere,Bullet List Carattere,FooterText Carattere,List Paragraph1 Carattere,Elenco a colori - Colore 11 Carattere,Colorful List - Accent 11 Carattere,numbered Carattere,Paragraphe de liste1 Carattere"/>
    <w:basedOn w:val="Carpredefinitoparagrafo"/>
    <w:link w:val="Paragrafoelenco"/>
    <w:uiPriority w:val="34"/>
    <w:qFormat/>
    <w:locked/>
    <w:rsid w:val="00494EF2"/>
    <w:rPr>
      <w:sz w:val="20"/>
      <w:szCs w:val="20"/>
    </w:rPr>
  </w:style>
  <w:style w:type="character" w:customStyle="1" w:styleId="normaltextrun">
    <w:name w:val="normaltextrun"/>
    <w:basedOn w:val="Carpredefinitoparagrafo"/>
    <w:qFormat/>
    <w:rsid w:val="00991007"/>
  </w:style>
  <w:style w:type="character" w:customStyle="1" w:styleId="eop">
    <w:name w:val="eop"/>
    <w:basedOn w:val="Carpredefinitoparagrafo"/>
    <w:qFormat/>
    <w:rsid w:val="00316A00"/>
  </w:style>
  <w:style w:type="character" w:styleId="Rimandocommento">
    <w:name w:val="annotation reference"/>
    <w:basedOn w:val="Carpredefinitoparagrafo"/>
    <w:uiPriority w:val="99"/>
    <w:semiHidden/>
    <w:unhideWhenUsed/>
    <w:qFormat/>
    <w:rsid w:val="00C44DA5"/>
    <w:rPr>
      <w:sz w:val="16"/>
      <w:szCs w:val="16"/>
    </w:rPr>
  </w:style>
  <w:style w:type="character" w:customStyle="1" w:styleId="TestocommentoCarattere">
    <w:name w:val="Testo commento Carattere"/>
    <w:basedOn w:val="Carpredefinitoparagrafo"/>
    <w:link w:val="Testocommento"/>
    <w:uiPriority w:val="99"/>
    <w:qFormat/>
    <w:rsid w:val="00C44DA5"/>
    <w:rPr>
      <w:sz w:val="20"/>
      <w:szCs w:val="20"/>
    </w:rPr>
  </w:style>
  <w:style w:type="character" w:customStyle="1" w:styleId="SoggettocommentoCarattere">
    <w:name w:val="Soggetto commento Carattere"/>
    <w:basedOn w:val="TestocommentoCarattere"/>
    <w:link w:val="Soggettocommento"/>
    <w:uiPriority w:val="99"/>
    <w:semiHidden/>
    <w:qFormat/>
    <w:rsid w:val="00C44DA5"/>
    <w:rPr>
      <w:b/>
      <w:bCs/>
      <w:sz w:val="20"/>
      <w:szCs w:val="20"/>
    </w:rPr>
  </w:style>
  <w:style w:type="character" w:customStyle="1" w:styleId="UnresolvedMention2">
    <w:name w:val="Unresolved Mention2"/>
    <w:basedOn w:val="Carpredefinitoparagrafo"/>
    <w:uiPriority w:val="99"/>
    <w:unhideWhenUsed/>
    <w:qFormat/>
    <w:rsid w:val="008A325F"/>
    <w:rPr>
      <w:color w:val="605E5C"/>
      <w:shd w:val="clear" w:color="auto" w:fill="E1DFDD"/>
    </w:rPr>
  </w:style>
  <w:style w:type="character" w:customStyle="1" w:styleId="Mention1">
    <w:name w:val="Mention1"/>
    <w:basedOn w:val="Carpredefinitoparagrafo"/>
    <w:uiPriority w:val="99"/>
    <w:unhideWhenUsed/>
    <w:qFormat/>
    <w:rsid w:val="008A325F"/>
    <w:rPr>
      <w:color w:val="2B579A"/>
      <w:shd w:val="clear" w:color="auto" w:fill="E1DFDD"/>
    </w:rPr>
  </w:style>
  <w:style w:type="character" w:customStyle="1" w:styleId="TestofumettoCarattere">
    <w:name w:val="Testo fumetto Carattere"/>
    <w:basedOn w:val="Carpredefinitoparagrafo"/>
    <w:link w:val="Testofumetto"/>
    <w:uiPriority w:val="99"/>
    <w:semiHidden/>
    <w:qFormat/>
    <w:rsid w:val="008C3ECB"/>
    <w:rPr>
      <w:rFonts w:ascii="Segoe UI" w:hAnsi="Segoe UI" w:cs="Segoe UI"/>
      <w:sz w:val="18"/>
      <w:szCs w:val="18"/>
    </w:rPr>
  </w:style>
  <w:style w:type="character" w:customStyle="1" w:styleId="Menzionenonrisolta1">
    <w:name w:val="Menzione non risolta1"/>
    <w:basedOn w:val="Carpredefinitoparagrafo"/>
    <w:uiPriority w:val="99"/>
    <w:unhideWhenUsed/>
    <w:qFormat/>
    <w:rsid w:val="005457D8"/>
    <w:rPr>
      <w:color w:val="605E5C"/>
      <w:shd w:val="clear" w:color="auto" w:fill="E1DFDD"/>
    </w:rPr>
  </w:style>
  <w:style w:type="character" w:customStyle="1" w:styleId="Menzione1">
    <w:name w:val="Menzione1"/>
    <w:basedOn w:val="Carpredefinitoparagrafo"/>
    <w:uiPriority w:val="99"/>
    <w:unhideWhenUsed/>
    <w:qFormat/>
    <w:rsid w:val="005457D8"/>
    <w:rPr>
      <w:color w:val="2B579A"/>
      <w:shd w:val="clear" w:color="auto" w:fill="E1DFDD"/>
    </w:rPr>
  </w:style>
  <w:style w:type="character" w:styleId="Menzionenonrisolta">
    <w:name w:val="Unresolved Mention"/>
    <w:basedOn w:val="Carpredefinitoparagrafo"/>
    <w:uiPriority w:val="99"/>
    <w:unhideWhenUsed/>
    <w:qFormat/>
    <w:rsid w:val="004D2A71"/>
    <w:rPr>
      <w:color w:val="605E5C"/>
      <w:shd w:val="clear" w:color="auto" w:fill="E1DFDD"/>
    </w:rPr>
  </w:style>
  <w:style w:type="character" w:customStyle="1" w:styleId="Nessuno">
    <w:name w:val="Nessuno"/>
    <w:qFormat/>
    <w:rsid w:val="00007AF8"/>
    <w:rPr>
      <w:lang w:val="fr-FR"/>
    </w:rPr>
  </w:style>
  <w:style w:type="character" w:customStyle="1" w:styleId="Hyperlink0">
    <w:name w:val="Hyperlink.0"/>
    <w:basedOn w:val="Nessuno"/>
    <w:qFormat/>
    <w:rsid w:val="00007AF8"/>
    <w:rPr>
      <w:sz w:val="16"/>
      <w:szCs w:val="16"/>
      <w:lang w:val="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ListLabel11">
    <w:name w:val="ListLabel 11"/>
    <w:qFormat/>
    <w:rPr>
      <w:rFonts w:eastAsia="Arial" w:cs="Arial"/>
    </w:rPr>
  </w:style>
  <w:style w:type="character" w:customStyle="1" w:styleId="ListLabel12">
    <w:name w:val="ListLabel 12"/>
    <w:qFormat/>
    <w:rPr>
      <w:rFonts w:eastAsia="Arial"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cs="Arial"/>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Enfasiforte">
    <w:name w:val="Enfasi forte"/>
    <w:qFormat/>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411CEB"/>
  </w:style>
  <w:style w:type="paragraph" w:styleId="Pidipagina">
    <w:name w:val="footer"/>
    <w:basedOn w:val="Normale"/>
    <w:link w:val="PidipaginaCarattere"/>
    <w:unhideWhenUsed/>
    <w:rsid w:val="00411CEB"/>
  </w:style>
  <w:style w:type="paragraph" w:styleId="Paragrafoelenco">
    <w:name w:val="List Paragraph"/>
    <w:aliases w:val="List with no spacing,Bullet List,FooterText,List Paragraph1,Elenco a colori - Colore 11,Colorful List - Accent 11,numbered,Paragraphe de liste1,列出段落,列出段落1,Bulletr List Paragraph,List Paragraph2,List Paragraph21,Párrafo de lista1,リスト段落1"/>
    <w:basedOn w:val="Normale"/>
    <w:link w:val="ParagrafoelencoCarattere"/>
    <w:uiPriority w:val="34"/>
    <w:qFormat/>
    <w:rsid w:val="002870E7"/>
    <w:pPr>
      <w:ind w:left="720"/>
      <w:contextualSpacing/>
    </w:pPr>
  </w:style>
  <w:style w:type="paragraph" w:customStyle="1" w:styleId="Bullets">
    <w:name w:val="Bullets"/>
    <w:basedOn w:val="Paragrafoelenco"/>
    <w:uiPriority w:val="9"/>
    <w:qFormat/>
    <w:rsid w:val="00FD68C4"/>
  </w:style>
  <w:style w:type="paragraph" w:customStyle="1" w:styleId="BusinessUnit">
    <w:name w:val="Business Unit"/>
    <w:basedOn w:val="Normale"/>
    <w:uiPriority w:val="9"/>
    <w:qFormat/>
    <w:rsid w:val="00DD17FD"/>
    <w:pPr>
      <w:spacing w:line="200" w:lineRule="atLeast"/>
    </w:pPr>
    <w:rPr>
      <w:b/>
      <w:bCs/>
      <w:color w:val="0460A9" w:themeColor="accent1"/>
      <w:sz w:val="16"/>
      <w:szCs w:val="16"/>
    </w:rPr>
  </w:style>
  <w:style w:type="paragraph" w:customStyle="1" w:styleId="Footnote">
    <w:name w:val="Footnote"/>
    <w:basedOn w:val="Normale"/>
    <w:uiPriority w:val="9"/>
    <w:qFormat/>
    <w:rsid w:val="00AD1F1E"/>
    <w:pPr>
      <w:spacing w:line="140" w:lineRule="atLeast"/>
    </w:pPr>
    <w:rPr>
      <w:sz w:val="12"/>
      <w:szCs w:val="12"/>
    </w:rPr>
  </w:style>
  <w:style w:type="paragraph" w:customStyle="1" w:styleId="Numbers">
    <w:name w:val="Numbers"/>
    <w:basedOn w:val="Paragrafoelenco"/>
    <w:uiPriority w:val="9"/>
    <w:qFormat/>
    <w:rsid w:val="00927E04"/>
  </w:style>
  <w:style w:type="paragraph" w:customStyle="1" w:styleId="Default">
    <w:name w:val="Default"/>
    <w:qFormat/>
    <w:rsid w:val="0090369E"/>
    <w:pPr>
      <w:spacing w:line="240" w:lineRule="auto"/>
    </w:pPr>
    <w:rPr>
      <w:rFonts w:ascii="Arial" w:eastAsia="Arial" w:hAnsi="Arial" w:cs="Arial"/>
      <w:color w:val="000000"/>
      <w:sz w:val="24"/>
      <w:szCs w:val="24"/>
      <w:lang w:val="en-GB"/>
    </w:rPr>
  </w:style>
  <w:style w:type="paragraph" w:customStyle="1" w:styleId="Subhead">
    <w:name w:val="Subhead"/>
    <w:basedOn w:val="Normale"/>
    <w:next w:val="Normale"/>
    <w:uiPriority w:val="9"/>
    <w:qFormat/>
    <w:rsid w:val="006A27D4"/>
    <w:pPr>
      <w:keepNext/>
      <w:keepLines/>
    </w:pPr>
    <w:rPr>
      <w:b/>
    </w:rPr>
  </w:style>
  <w:style w:type="paragraph" w:customStyle="1" w:styleId="References">
    <w:name w:val="References"/>
    <w:basedOn w:val="Paragrafoelenco"/>
    <w:uiPriority w:val="9"/>
    <w:qFormat/>
    <w:rsid w:val="006A27D4"/>
    <w:pPr>
      <w:spacing w:line="200" w:lineRule="atLeast"/>
    </w:pPr>
    <w:rPr>
      <w:sz w:val="16"/>
      <w:szCs w:val="16"/>
    </w:rPr>
  </w:style>
  <w:style w:type="paragraph" w:customStyle="1" w:styleId="paragraph">
    <w:name w:val="paragraph"/>
    <w:basedOn w:val="Normale"/>
    <w:qFormat/>
    <w:rsid w:val="00316A00"/>
    <w:pPr>
      <w:spacing w:beforeAutospacing="1" w:afterAutospacing="1" w:line="240" w:lineRule="auto"/>
    </w:pPr>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unhideWhenUsed/>
    <w:qFormat/>
    <w:rsid w:val="00C44DA5"/>
    <w:pPr>
      <w:spacing w:line="240" w:lineRule="auto"/>
    </w:pPr>
  </w:style>
  <w:style w:type="paragraph" w:styleId="Soggettocommento">
    <w:name w:val="annotation subject"/>
    <w:basedOn w:val="Testocommento"/>
    <w:link w:val="SoggettocommentoCarattere"/>
    <w:uiPriority w:val="99"/>
    <w:semiHidden/>
    <w:unhideWhenUsed/>
    <w:qFormat/>
    <w:rsid w:val="00C44DA5"/>
    <w:rPr>
      <w:b/>
      <w:bCs/>
    </w:rPr>
  </w:style>
  <w:style w:type="paragraph" w:styleId="Revisione">
    <w:name w:val="Revision"/>
    <w:uiPriority w:val="99"/>
    <w:semiHidden/>
    <w:qFormat/>
    <w:rsid w:val="00FC2A57"/>
    <w:pPr>
      <w:spacing w:line="240" w:lineRule="auto"/>
    </w:pPr>
    <w:rPr>
      <w:color w:val="00000A"/>
      <w:szCs w:val="20"/>
    </w:rPr>
  </w:style>
  <w:style w:type="paragraph" w:styleId="Testofumetto">
    <w:name w:val="Balloon Text"/>
    <w:basedOn w:val="Normale"/>
    <w:link w:val="TestofumettoCarattere"/>
    <w:uiPriority w:val="99"/>
    <w:semiHidden/>
    <w:unhideWhenUsed/>
    <w:qFormat/>
    <w:rsid w:val="008C3ECB"/>
    <w:pPr>
      <w:spacing w:line="240" w:lineRule="auto"/>
    </w:pPr>
    <w:rPr>
      <w:rFonts w:ascii="Segoe UI" w:hAnsi="Segoe UI" w:cs="Segoe UI"/>
      <w:sz w:val="18"/>
      <w:szCs w:val="18"/>
    </w:rPr>
  </w:style>
  <w:style w:type="paragraph" w:styleId="NormaleWeb">
    <w:name w:val="Normal (Web)"/>
    <w:basedOn w:val="Normale"/>
    <w:link w:val="NormaleWebCarattere"/>
    <w:uiPriority w:val="99"/>
    <w:unhideWhenUsed/>
    <w:qFormat/>
    <w:rsid w:val="00DB2C68"/>
    <w:pPr>
      <w:spacing w:beforeAutospacing="1" w:afterAutospacing="1" w:line="240" w:lineRule="auto"/>
    </w:pPr>
    <w:rPr>
      <w:rFonts w:ascii="Times New Roman" w:eastAsia="Times New Roman" w:hAnsi="Times New Roman" w:cs="Times New Roman"/>
      <w:sz w:val="24"/>
      <w:szCs w:val="24"/>
    </w:rPr>
  </w:style>
  <w:style w:type="paragraph" w:customStyle="1" w:styleId="Contenutocornice">
    <w:name w:val="Contenuto cornice"/>
    <w:basedOn w:val="Normale"/>
    <w:qFormat/>
  </w:style>
  <w:style w:type="paragraph" w:styleId="Testonotaapidipagina">
    <w:name w:val="footnote text"/>
    <w:basedOn w:val="Normale"/>
  </w:style>
  <w:style w:type="paragraph" w:customStyle="1" w:styleId="Predefinito">
    <w:name w:val="Predefinito"/>
    <w:qFormat/>
    <w:pPr>
      <w:spacing w:line="200" w:lineRule="atLeast"/>
    </w:pPr>
    <w:rPr>
      <w:rFonts w:ascii="Lucida Sans" w:eastAsia="Tahoma" w:hAnsi="Lucida Sans" w:cs="Liberation Sans"/>
      <w:color w:val="000000"/>
      <w:sz w:val="36"/>
      <w:szCs w:val="24"/>
    </w:rPr>
  </w:style>
  <w:style w:type="table" w:styleId="Grigliatabella">
    <w:name w:val="Table Grid"/>
    <w:basedOn w:val="Tabellanormale"/>
    <w:uiPriority w:val="39"/>
    <w:rsid w:val="00A16987"/>
    <w:pPr>
      <w:spacing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tblStylePr w:type="firstRow">
      <w:rPr>
        <w:b/>
        <w:bCs/>
        <w:i w:val="0"/>
        <w:color w:val="0460A9"/>
      </w:rPr>
      <w:tblPr/>
      <w:tcPr>
        <w:tcBorders>
          <w:top w:val="nil"/>
          <w:left w:val="nil"/>
          <w:bottom w:val="single" w:sz="8" w:space="0" w:color="0460A9"/>
          <w:right w:val="nil"/>
          <w:insideH w:val="nil"/>
          <w:insideV w:val="nil"/>
          <w:tl2br w:val="nil"/>
          <w:tr2bl w:val="nil"/>
        </w:tcBorders>
      </w:tcPr>
    </w:tblStylePr>
  </w:style>
  <w:style w:type="table" w:customStyle="1" w:styleId="Tabellasemplice-11">
    <w:name w:val="Tabella semplice - 11"/>
    <w:basedOn w:val="Tabellanormale"/>
    <w:uiPriority w:val="41"/>
    <w:rsid w:val="00363D2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imandonotaapidipagina">
    <w:name w:val="footnote reference"/>
    <w:basedOn w:val="Carpredefinitoparagrafo"/>
    <w:uiPriority w:val="99"/>
    <w:semiHidden/>
    <w:unhideWhenUsed/>
    <w:rsid w:val="00D3534D"/>
    <w:rPr>
      <w:vertAlign w:val="superscript"/>
    </w:rPr>
  </w:style>
  <w:style w:type="character" w:customStyle="1" w:styleId="ui-provider">
    <w:name w:val="ui-provider"/>
    <w:basedOn w:val="Carpredefinitoparagrafo"/>
    <w:rsid w:val="00782C7C"/>
  </w:style>
  <w:style w:type="character" w:styleId="Collegamentoipertestuale">
    <w:name w:val="Hyperlink"/>
    <w:rsid w:val="00925E65"/>
    <w:rPr>
      <w:u w:val="single"/>
    </w:rPr>
  </w:style>
  <w:style w:type="character" w:customStyle="1" w:styleId="NormaleWebCarattere">
    <w:name w:val="Normale (Web) Carattere"/>
    <w:basedOn w:val="Carpredefinitoparagrafo"/>
    <w:link w:val="NormaleWeb"/>
    <w:uiPriority w:val="99"/>
    <w:locked/>
    <w:rsid w:val="00925E65"/>
    <w:rPr>
      <w:rFonts w:ascii="Times New Roman" w:eastAsia="Times New Roman" w:hAnsi="Times New Roman" w:cs="Times New Roman"/>
      <w:color w:val="00000A"/>
      <w:sz w:val="24"/>
      <w:szCs w:val="24"/>
    </w:rPr>
  </w:style>
  <w:style w:type="character" w:styleId="Enfasigrassetto">
    <w:name w:val="Strong"/>
    <w:basedOn w:val="Carpredefinitoparagrafo"/>
    <w:uiPriority w:val="22"/>
    <w:qFormat/>
    <w:rsid w:val="00925E65"/>
    <w:rPr>
      <w:b/>
      <w:bCs/>
    </w:rPr>
  </w:style>
  <w:style w:type="character" w:styleId="Menzione">
    <w:name w:val="Mention"/>
    <w:basedOn w:val="Carpredefinitoparagrafo"/>
    <w:uiPriority w:val="99"/>
    <w:unhideWhenUsed/>
    <w:rsid w:val="00925E65"/>
    <w:rPr>
      <w:color w:val="2B579A"/>
      <w:shd w:val="clear" w:color="auto" w:fill="E1DFDD"/>
    </w:rPr>
  </w:style>
  <w:style w:type="character" w:customStyle="1" w:styleId="contentpasted0">
    <w:name w:val="contentpasted0"/>
    <w:basedOn w:val="Carpredefinitoparagrafo"/>
    <w:rsid w:val="000910CC"/>
  </w:style>
  <w:style w:type="character" w:customStyle="1" w:styleId="caratterenotaapidipagina0">
    <w:name w:val="caratterenotaapidipagina"/>
    <w:basedOn w:val="Carpredefinitoparagrafo"/>
    <w:rsid w:val="001C516A"/>
  </w:style>
  <w:style w:type="paragraph" w:customStyle="1" w:styleId="Normale1">
    <w:name w:val="Normale1"/>
    <w:rsid w:val="006921ED"/>
    <w:pPr>
      <w:suppressAutoHyphens/>
      <w:spacing w:line="240" w:lineRule="auto"/>
    </w:pPr>
    <w:rPr>
      <w:rFonts w:eastAsiaTheme="minorEastAsia" w:cs="Times New Roman"/>
      <w:color w:val="00000A"/>
      <w:sz w:val="24"/>
      <w:lang w:val="it-IT" w:eastAsia="zh-CN" w:bidi="hi-IN"/>
    </w:rPr>
  </w:style>
  <w:style w:type="paragraph" w:customStyle="1" w:styleId="ElencoSpuntato">
    <w:name w:val="Elenco Spuntato"/>
    <w:basedOn w:val="Normale"/>
    <w:link w:val="ElencoSpuntatoCarattere"/>
    <w:qFormat/>
    <w:rsid w:val="007F175C"/>
    <w:pPr>
      <w:numPr>
        <w:numId w:val="28"/>
      </w:numPr>
      <w:tabs>
        <w:tab w:val="left" w:pos="709"/>
      </w:tabs>
      <w:spacing w:before="40" w:after="40" w:line="320" w:lineRule="exact"/>
      <w:jc w:val="both"/>
    </w:pPr>
    <w:rPr>
      <w:rFonts w:ascii="Bookman Old Style" w:eastAsia="Times New Roman" w:hAnsi="Bookman Old Style" w:cs="Arial"/>
      <w:color w:val="auto"/>
      <w:sz w:val="24"/>
      <w:szCs w:val="24"/>
      <w:lang w:val="it-IT"/>
    </w:rPr>
  </w:style>
  <w:style w:type="character" w:customStyle="1" w:styleId="ElencoSpuntatoCarattere">
    <w:name w:val="Elenco Spuntato Carattere"/>
    <w:basedOn w:val="Carpredefinitoparagrafo"/>
    <w:link w:val="ElencoSpuntato"/>
    <w:rsid w:val="007F175C"/>
    <w:rPr>
      <w:rFonts w:ascii="Bookman Old Style" w:eastAsia="Times New Roman" w:hAnsi="Bookman Old Style" w:cs="Arial"/>
      <w:sz w:val="24"/>
      <w:szCs w:val="24"/>
      <w:lang w:val="it-IT"/>
    </w:rPr>
  </w:style>
  <w:style w:type="character" w:styleId="Enfasicorsivo">
    <w:name w:val="Emphasis"/>
    <w:basedOn w:val="Carpredefinitoparagrafo"/>
    <w:uiPriority w:val="20"/>
    <w:qFormat/>
    <w:rsid w:val="00CF24C8"/>
    <w:rPr>
      <w:i/>
      <w:iCs/>
    </w:rPr>
  </w:style>
  <w:style w:type="character" w:customStyle="1" w:styleId="A6">
    <w:name w:val="A6"/>
    <w:uiPriority w:val="99"/>
    <w:rsid w:val="00CF24C8"/>
    <w:rPr>
      <w:rFonts w:cs="Volta Modern Display 55 Rom"/>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782">
      <w:bodyDiv w:val="1"/>
      <w:marLeft w:val="0"/>
      <w:marRight w:val="0"/>
      <w:marTop w:val="0"/>
      <w:marBottom w:val="0"/>
      <w:divBdr>
        <w:top w:val="none" w:sz="0" w:space="0" w:color="auto"/>
        <w:left w:val="none" w:sz="0" w:space="0" w:color="auto"/>
        <w:bottom w:val="none" w:sz="0" w:space="0" w:color="auto"/>
        <w:right w:val="none" w:sz="0" w:space="0" w:color="auto"/>
      </w:divBdr>
    </w:div>
    <w:div w:id="128256106">
      <w:bodyDiv w:val="1"/>
      <w:marLeft w:val="0"/>
      <w:marRight w:val="0"/>
      <w:marTop w:val="0"/>
      <w:marBottom w:val="0"/>
      <w:divBdr>
        <w:top w:val="none" w:sz="0" w:space="0" w:color="auto"/>
        <w:left w:val="none" w:sz="0" w:space="0" w:color="auto"/>
        <w:bottom w:val="none" w:sz="0" w:space="0" w:color="auto"/>
        <w:right w:val="none" w:sz="0" w:space="0" w:color="auto"/>
      </w:divBdr>
    </w:div>
    <w:div w:id="154145951">
      <w:bodyDiv w:val="1"/>
      <w:marLeft w:val="0"/>
      <w:marRight w:val="0"/>
      <w:marTop w:val="0"/>
      <w:marBottom w:val="0"/>
      <w:divBdr>
        <w:top w:val="none" w:sz="0" w:space="0" w:color="auto"/>
        <w:left w:val="none" w:sz="0" w:space="0" w:color="auto"/>
        <w:bottom w:val="none" w:sz="0" w:space="0" w:color="auto"/>
        <w:right w:val="none" w:sz="0" w:space="0" w:color="auto"/>
      </w:divBdr>
    </w:div>
    <w:div w:id="175269908">
      <w:bodyDiv w:val="1"/>
      <w:marLeft w:val="0"/>
      <w:marRight w:val="0"/>
      <w:marTop w:val="0"/>
      <w:marBottom w:val="0"/>
      <w:divBdr>
        <w:top w:val="none" w:sz="0" w:space="0" w:color="auto"/>
        <w:left w:val="none" w:sz="0" w:space="0" w:color="auto"/>
        <w:bottom w:val="none" w:sz="0" w:space="0" w:color="auto"/>
        <w:right w:val="none" w:sz="0" w:space="0" w:color="auto"/>
      </w:divBdr>
    </w:div>
    <w:div w:id="209343774">
      <w:bodyDiv w:val="1"/>
      <w:marLeft w:val="0"/>
      <w:marRight w:val="0"/>
      <w:marTop w:val="0"/>
      <w:marBottom w:val="0"/>
      <w:divBdr>
        <w:top w:val="none" w:sz="0" w:space="0" w:color="auto"/>
        <w:left w:val="none" w:sz="0" w:space="0" w:color="auto"/>
        <w:bottom w:val="none" w:sz="0" w:space="0" w:color="auto"/>
        <w:right w:val="none" w:sz="0" w:space="0" w:color="auto"/>
      </w:divBdr>
    </w:div>
    <w:div w:id="216356442">
      <w:bodyDiv w:val="1"/>
      <w:marLeft w:val="0"/>
      <w:marRight w:val="0"/>
      <w:marTop w:val="0"/>
      <w:marBottom w:val="0"/>
      <w:divBdr>
        <w:top w:val="none" w:sz="0" w:space="0" w:color="auto"/>
        <w:left w:val="none" w:sz="0" w:space="0" w:color="auto"/>
        <w:bottom w:val="none" w:sz="0" w:space="0" w:color="auto"/>
        <w:right w:val="none" w:sz="0" w:space="0" w:color="auto"/>
      </w:divBdr>
    </w:div>
    <w:div w:id="352147538">
      <w:bodyDiv w:val="1"/>
      <w:marLeft w:val="0"/>
      <w:marRight w:val="0"/>
      <w:marTop w:val="0"/>
      <w:marBottom w:val="0"/>
      <w:divBdr>
        <w:top w:val="none" w:sz="0" w:space="0" w:color="auto"/>
        <w:left w:val="none" w:sz="0" w:space="0" w:color="auto"/>
        <w:bottom w:val="none" w:sz="0" w:space="0" w:color="auto"/>
        <w:right w:val="none" w:sz="0" w:space="0" w:color="auto"/>
      </w:divBdr>
    </w:div>
    <w:div w:id="428431971">
      <w:bodyDiv w:val="1"/>
      <w:marLeft w:val="0"/>
      <w:marRight w:val="0"/>
      <w:marTop w:val="0"/>
      <w:marBottom w:val="0"/>
      <w:divBdr>
        <w:top w:val="none" w:sz="0" w:space="0" w:color="auto"/>
        <w:left w:val="none" w:sz="0" w:space="0" w:color="auto"/>
        <w:bottom w:val="none" w:sz="0" w:space="0" w:color="auto"/>
        <w:right w:val="none" w:sz="0" w:space="0" w:color="auto"/>
      </w:divBdr>
    </w:div>
    <w:div w:id="493030829">
      <w:bodyDiv w:val="1"/>
      <w:marLeft w:val="0"/>
      <w:marRight w:val="0"/>
      <w:marTop w:val="0"/>
      <w:marBottom w:val="0"/>
      <w:divBdr>
        <w:top w:val="none" w:sz="0" w:space="0" w:color="auto"/>
        <w:left w:val="none" w:sz="0" w:space="0" w:color="auto"/>
        <w:bottom w:val="none" w:sz="0" w:space="0" w:color="auto"/>
        <w:right w:val="none" w:sz="0" w:space="0" w:color="auto"/>
      </w:divBdr>
    </w:div>
    <w:div w:id="602691895">
      <w:bodyDiv w:val="1"/>
      <w:marLeft w:val="0"/>
      <w:marRight w:val="0"/>
      <w:marTop w:val="0"/>
      <w:marBottom w:val="0"/>
      <w:divBdr>
        <w:top w:val="none" w:sz="0" w:space="0" w:color="auto"/>
        <w:left w:val="none" w:sz="0" w:space="0" w:color="auto"/>
        <w:bottom w:val="none" w:sz="0" w:space="0" w:color="auto"/>
        <w:right w:val="none" w:sz="0" w:space="0" w:color="auto"/>
      </w:divBdr>
    </w:div>
    <w:div w:id="655378588">
      <w:bodyDiv w:val="1"/>
      <w:marLeft w:val="0"/>
      <w:marRight w:val="0"/>
      <w:marTop w:val="0"/>
      <w:marBottom w:val="0"/>
      <w:divBdr>
        <w:top w:val="none" w:sz="0" w:space="0" w:color="auto"/>
        <w:left w:val="none" w:sz="0" w:space="0" w:color="auto"/>
        <w:bottom w:val="none" w:sz="0" w:space="0" w:color="auto"/>
        <w:right w:val="none" w:sz="0" w:space="0" w:color="auto"/>
      </w:divBdr>
    </w:div>
    <w:div w:id="670911232">
      <w:bodyDiv w:val="1"/>
      <w:marLeft w:val="0"/>
      <w:marRight w:val="0"/>
      <w:marTop w:val="0"/>
      <w:marBottom w:val="0"/>
      <w:divBdr>
        <w:top w:val="none" w:sz="0" w:space="0" w:color="auto"/>
        <w:left w:val="none" w:sz="0" w:space="0" w:color="auto"/>
        <w:bottom w:val="none" w:sz="0" w:space="0" w:color="auto"/>
        <w:right w:val="none" w:sz="0" w:space="0" w:color="auto"/>
      </w:divBdr>
    </w:div>
    <w:div w:id="688726175">
      <w:bodyDiv w:val="1"/>
      <w:marLeft w:val="0"/>
      <w:marRight w:val="0"/>
      <w:marTop w:val="0"/>
      <w:marBottom w:val="0"/>
      <w:divBdr>
        <w:top w:val="none" w:sz="0" w:space="0" w:color="auto"/>
        <w:left w:val="none" w:sz="0" w:space="0" w:color="auto"/>
        <w:bottom w:val="none" w:sz="0" w:space="0" w:color="auto"/>
        <w:right w:val="none" w:sz="0" w:space="0" w:color="auto"/>
      </w:divBdr>
    </w:div>
    <w:div w:id="796336072">
      <w:bodyDiv w:val="1"/>
      <w:marLeft w:val="0"/>
      <w:marRight w:val="0"/>
      <w:marTop w:val="0"/>
      <w:marBottom w:val="0"/>
      <w:divBdr>
        <w:top w:val="none" w:sz="0" w:space="0" w:color="auto"/>
        <w:left w:val="none" w:sz="0" w:space="0" w:color="auto"/>
        <w:bottom w:val="none" w:sz="0" w:space="0" w:color="auto"/>
        <w:right w:val="none" w:sz="0" w:space="0" w:color="auto"/>
      </w:divBdr>
    </w:div>
    <w:div w:id="817066479">
      <w:bodyDiv w:val="1"/>
      <w:marLeft w:val="0"/>
      <w:marRight w:val="0"/>
      <w:marTop w:val="0"/>
      <w:marBottom w:val="0"/>
      <w:divBdr>
        <w:top w:val="none" w:sz="0" w:space="0" w:color="auto"/>
        <w:left w:val="none" w:sz="0" w:space="0" w:color="auto"/>
        <w:bottom w:val="none" w:sz="0" w:space="0" w:color="auto"/>
        <w:right w:val="none" w:sz="0" w:space="0" w:color="auto"/>
      </w:divBdr>
    </w:div>
    <w:div w:id="823467432">
      <w:bodyDiv w:val="1"/>
      <w:marLeft w:val="0"/>
      <w:marRight w:val="0"/>
      <w:marTop w:val="0"/>
      <w:marBottom w:val="0"/>
      <w:divBdr>
        <w:top w:val="none" w:sz="0" w:space="0" w:color="auto"/>
        <w:left w:val="none" w:sz="0" w:space="0" w:color="auto"/>
        <w:bottom w:val="none" w:sz="0" w:space="0" w:color="auto"/>
        <w:right w:val="none" w:sz="0" w:space="0" w:color="auto"/>
      </w:divBdr>
    </w:div>
    <w:div w:id="824590537">
      <w:bodyDiv w:val="1"/>
      <w:marLeft w:val="0"/>
      <w:marRight w:val="0"/>
      <w:marTop w:val="0"/>
      <w:marBottom w:val="0"/>
      <w:divBdr>
        <w:top w:val="none" w:sz="0" w:space="0" w:color="auto"/>
        <w:left w:val="none" w:sz="0" w:space="0" w:color="auto"/>
        <w:bottom w:val="none" w:sz="0" w:space="0" w:color="auto"/>
        <w:right w:val="none" w:sz="0" w:space="0" w:color="auto"/>
      </w:divBdr>
    </w:div>
    <w:div w:id="866795547">
      <w:bodyDiv w:val="1"/>
      <w:marLeft w:val="0"/>
      <w:marRight w:val="0"/>
      <w:marTop w:val="0"/>
      <w:marBottom w:val="0"/>
      <w:divBdr>
        <w:top w:val="none" w:sz="0" w:space="0" w:color="auto"/>
        <w:left w:val="none" w:sz="0" w:space="0" w:color="auto"/>
        <w:bottom w:val="none" w:sz="0" w:space="0" w:color="auto"/>
        <w:right w:val="none" w:sz="0" w:space="0" w:color="auto"/>
      </w:divBdr>
    </w:div>
    <w:div w:id="868836908">
      <w:bodyDiv w:val="1"/>
      <w:marLeft w:val="0"/>
      <w:marRight w:val="0"/>
      <w:marTop w:val="0"/>
      <w:marBottom w:val="0"/>
      <w:divBdr>
        <w:top w:val="none" w:sz="0" w:space="0" w:color="auto"/>
        <w:left w:val="none" w:sz="0" w:space="0" w:color="auto"/>
        <w:bottom w:val="none" w:sz="0" w:space="0" w:color="auto"/>
        <w:right w:val="none" w:sz="0" w:space="0" w:color="auto"/>
      </w:divBdr>
    </w:div>
    <w:div w:id="1020471875">
      <w:bodyDiv w:val="1"/>
      <w:marLeft w:val="0"/>
      <w:marRight w:val="0"/>
      <w:marTop w:val="0"/>
      <w:marBottom w:val="0"/>
      <w:divBdr>
        <w:top w:val="none" w:sz="0" w:space="0" w:color="auto"/>
        <w:left w:val="none" w:sz="0" w:space="0" w:color="auto"/>
        <w:bottom w:val="none" w:sz="0" w:space="0" w:color="auto"/>
        <w:right w:val="none" w:sz="0" w:space="0" w:color="auto"/>
      </w:divBdr>
    </w:div>
    <w:div w:id="1142964572">
      <w:bodyDiv w:val="1"/>
      <w:marLeft w:val="0"/>
      <w:marRight w:val="0"/>
      <w:marTop w:val="0"/>
      <w:marBottom w:val="0"/>
      <w:divBdr>
        <w:top w:val="none" w:sz="0" w:space="0" w:color="auto"/>
        <w:left w:val="none" w:sz="0" w:space="0" w:color="auto"/>
        <w:bottom w:val="none" w:sz="0" w:space="0" w:color="auto"/>
        <w:right w:val="none" w:sz="0" w:space="0" w:color="auto"/>
      </w:divBdr>
    </w:div>
    <w:div w:id="1148399281">
      <w:bodyDiv w:val="1"/>
      <w:marLeft w:val="0"/>
      <w:marRight w:val="0"/>
      <w:marTop w:val="0"/>
      <w:marBottom w:val="0"/>
      <w:divBdr>
        <w:top w:val="none" w:sz="0" w:space="0" w:color="auto"/>
        <w:left w:val="none" w:sz="0" w:space="0" w:color="auto"/>
        <w:bottom w:val="none" w:sz="0" w:space="0" w:color="auto"/>
        <w:right w:val="none" w:sz="0" w:space="0" w:color="auto"/>
      </w:divBdr>
    </w:div>
    <w:div w:id="1193615601">
      <w:bodyDiv w:val="1"/>
      <w:marLeft w:val="0"/>
      <w:marRight w:val="0"/>
      <w:marTop w:val="0"/>
      <w:marBottom w:val="0"/>
      <w:divBdr>
        <w:top w:val="none" w:sz="0" w:space="0" w:color="auto"/>
        <w:left w:val="none" w:sz="0" w:space="0" w:color="auto"/>
        <w:bottom w:val="none" w:sz="0" w:space="0" w:color="auto"/>
        <w:right w:val="none" w:sz="0" w:space="0" w:color="auto"/>
      </w:divBdr>
    </w:div>
    <w:div w:id="1251692390">
      <w:bodyDiv w:val="1"/>
      <w:marLeft w:val="0"/>
      <w:marRight w:val="0"/>
      <w:marTop w:val="0"/>
      <w:marBottom w:val="0"/>
      <w:divBdr>
        <w:top w:val="none" w:sz="0" w:space="0" w:color="auto"/>
        <w:left w:val="none" w:sz="0" w:space="0" w:color="auto"/>
        <w:bottom w:val="none" w:sz="0" w:space="0" w:color="auto"/>
        <w:right w:val="none" w:sz="0" w:space="0" w:color="auto"/>
      </w:divBdr>
    </w:div>
    <w:div w:id="1332026055">
      <w:bodyDiv w:val="1"/>
      <w:marLeft w:val="0"/>
      <w:marRight w:val="0"/>
      <w:marTop w:val="0"/>
      <w:marBottom w:val="0"/>
      <w:divBdr>
        <w:top w:val="none" w:sz="0" w:space="0" w:color="auto"/>
        <w:left w:val="none" w:sz="0" w:space="0" w:color="auto"/>
        <w:bottom w:val="none" w:sz="0" w:space="0" w:color="auto"/>
        <w:right w:val="none" w:sz="0" w:space="0" w:color="auto"/>
      </w:divBdr>
    </w:div>
    <w:div w:id="1351300410">
      <w:bodyDiv w:val="1"/>
      <w:marLeft w:val="0"/>
      <w:marRight w:val="0"/>
      <w:marTop w:val="0"/>
      <w:marBottom w:val="0"/>
      <w:divBdr>
        <w:top w:val="none" w:sz="0" w:space="0" w:color="auto"/>
        <w:left w:val="none" w:sz="0" w:space="0" w:color="auto"/>
        <w:bottom w:val="none" w:sz="0" w:space="0" w:color="auto"/>
        <w:right w:val="none" w:sz="0" w:space="0" w:color="auto"/>
      </w:divBdr>
    </w:div>
    <w:div w:id="1373311565">
      <w:bodyDiv w:val="1"/>
      <w:marLeft w:val="0"/>
      <w:marRight w:val="0"/>
      <w:marTop w:val="0"/>
      <w:marBottom w:val="0"/>
      <w:divBdr>
        <w:top w:val="none" w:sz="0" w:space="0" w:color="auto"/>
        <w:left w:val="none" w:sz="0" w:space="0" w:color="auto"/>
        <w:bottom w:val="none" w:sz="0" w:space="0" w:color="auto"/>
        <w:right w:val="none" w:sz="0" w:space="0" w:color="auto"/>
      </w:divBdr>
    </w:div>
    <w:div w:id="1385107168">
      <w:bodyDiv w:val="1"/>
      <w:marLeft w:val="0"/>
      <w:marRight w:val="0"/>
      <w:marTop w:val="0"/>
      <w:marBottom w:val="0"/>
      <w:divBdr>
        <w:top w:val="none" w:sz="0" w:space="0" w:color="auto"/>
        <w:left w:val="none" w:sz="0" w:space="0" w:color="auto"/>
        <w:bottom w:val="none" w:sz="0" w:space="0" w:color="auto"/>
        <w:right w:val="none" w:sz="0" w:space="0" w:color="auto"/>
      </w:divBdr>
    </w:div>
    <w:div w:id="1390374130">
      <w:bodyDiv w:val="1"/>
      <w:marLeft w:val="0"/>
      <w:marRight w:val="0"/>
      <w:marTop w:val="0"/>
      <w:marBottom w:val="0"/>
      <w:divBdr>
        <w:top w:val="none" w:sz="0" w:space="0" w:color="auto"/>
        <w:left w:val="none" w:sz="0" w:space="0" w:color="auto"/>
        <w:bottom w:val="none" w:sz="0" w:space="0" w:color="auto"/>
        <w:right w:val="none" w:sz="0" w:space="0" w:color="auto"/>
      </w:divBdr>
    </w:div>
    <w:div w:id="1397512249">
      <w:bodyDiv w:val="1"/>
      <w:marLeft w:val="0"/>
      <w:marRight w:val="0"/>
      <w:marTop w:val="0"/>
      <w:marBottom w:val="0"/>
      <w:divBdr>
        <w:top w:val="none" w:sz="0" w:space="0" w:color="auto"/>
        <w:left w:val="none" w:sz="0" w:space="0" w:color="auto"/>
        <w:bottom w:val="none" w:sz="0" w:space="0" w:color="auto"/>
        <w:right w:val="none" w:sz="0" w:space="0" w:color="auto"/>
      </w:divBdr>
    </w:div>
    <w:div w:id="1422526656">
      <w:bodyDiv w:val="1"/>
      <w:marLeft w:val="0"/>
      <w:marRight w:val="0"/>
      <w:marTop w:val="0"/>
      <w:marBottom w:val="0"/>
      <w:divBdr>
        <w:top w:val="none" w:sz="0" w:space="0" w:color="auto"/>
        <w:left w:val="none" w:sz="0" w:space="0" w:color="auto"/>
        <w:bottom w:val="none" w:sz="0" w:space="0" w:color="auto"/>
        <w:right w:val="none" w:sz="0" w:space="0" w:color="auto"/>
      </w:divBdr>
    </w:div>
    <w:div w:id="1515656289">
      <w:bodyDiv w:val="1"/>
      <w:marLeft w:val="0"/>
      <w:marRight w:val="0"/>
      <w:marTop w:val="0"/>
      <w:marBottom w:val="0"/>
      <w:divBdr>
        <w:top w:val="none" w:sz="0" w:space="0" w:color="auto"/>
        <w:left w:val="none" w:sz="0" w:space="0" w:color="auto"/>
        <w:bottom w:val="none" w:sz="0" w:space="0" w:color="auto"/>
        <w:right w:val="none" w:sz="0" w:space="0" w:color="auto"/>
      </w:divBdr>
    </w:div>
    <w:div w:id="1561592509">
      <w:bodyDiv w:val="1"/>
      <w:marLeft w:val="0"/>
      <w:marRight w:val="0"/>
      <w:marTop w:val="0"/>
      <w:marBottom w:val="0"/>
      <w:divBdr>
        <w:top w:val="none" w:sz="0" w:space="0" w:color="auto"/>
        <w:left w:val="none" w:sz="0" w:space="0" w:color="auto"/>
        <w:bottom w:val="none" w:sz="0" w:space="0" w:color="auto"/>
        <w:right w:val="none" w:sz="0" w:space="0" w:color="auto"/>
      </w:divBdr>
    </w:div>
    <w:div w:id="1609242030">
      <w:bodyDiv w:val="1"/>
      <w:marLeft w:val="0"/>
      <w:marRight w:val="0"/>
      <w:marTop w:val="0"/>
      <w:marBottom w:val="0"/>
      <w:divBdr>
        <w:top w:val="none" w:sz="0" w:space="0" w:color="auto"/>
        <w:left w:val="none" w:sz="0" w:space="0" w:color="auto"/>
        <w:bottom w:val="none" w:sz="0" w:space="0" w:color="auto"/>
        <w:right w:val="none" w:sz="0" w:space="0" w:color="auto"/>
      </w:divBdr>
    </w:div>
    <w:div w:id="1611008226">
      <w:bodyDiv w:val="1"/>
      <w:marLeft w:val="0"/>
      <w:marRight w:val="0"/>
      <w:marTop w:val="0"/>
      <w:marBottom w:val="0"/>
      <w:divBdr>
        <w:top w:val="none" w:sz="0" w:space="0" w:color="auto"/>
        <w:left w:val="none" w:sz="0" w:space="0" w:color="auto"/>
        <w:bottom w:val="none" w:sz="0" w:space="0" w:color="auto"/>
        <w:right w:val="none" w:sz="0" w:space="0" w:color="auto"/>
      </w:divBdr>
    </w:div>
    <w:div w:id="1662660886">
      <w:bodyDiv w:val="1"/>
      <w:marLeft w:val="0"/>
      <w:marRight w:val="0"/>
      <w:marTop w:val="0"/>
      <w:marBottom w:val="0"/>
      <w:divBdr>
        <w:top w:val="none" w:sz="0" w:space="0" w:color="auto"/>
        <w:left w:val="none" w:sz="0" w:space="0" w:color="auto"/>
        <w:bottom w:val="none" w:sz="0" w:space="0" w:color="auto"/>
        <w:right w:val="none" w:sz="0" w:space="0" w:color="auto"/>
      </w:divBdr>
    </w:div>
    <w:div w:id="1717706138">
      <w:bodyDiv w:val="1"/>
      <w:marLeft w:val="0"/>
      <w:marRight w:val="0"/>
      <w:marTop w:val="0"/>
      <w:marBottom w:val="0"/>
      <w:divBdr>
        <w:top w:val="none" w:sz="0" w:space="0" w:color="auto"/>
        <w:left w:val="none" w:sz="0" w:space="0" w:color="auto"/>
        <w:bottom w:val="none" w:sz="0" w:space="0" w:color="auto"/>
        <w:right w:val="none" w:sz="0" w:space="0" w:color="auto"/>
      </w:divBdr>
    </w:div>
    <w:div w:id="1862164848">
      <w:bodyDiv w:val="1"/>
      <w:marLeft w:val="0"/>
      <w:marRight w:val="0"/>
      <w:marTop w:val="0"/>
      <w:marBottom w:val="0"/>
      <w:divBdr>
        <w:top w:val="none" w:sz="0" w:space="0" w:color="auto"/>
        <w:left w:val="none" w:sz="0" w:space="0" w:color="auto"/>
        <w:bottom w:val="none" w:sz="0" w:space="0" w:color="auto"/>
        <w:right w:val="none" w:sz="0" w:space="0" w:color="auto"/>
      </w:divBdr>
    </w:div>
    <w:div w:id="1959726465">
      <w:bodyDiv w:val="1"/>
      <w:marLeft w:val="0"/>
      <w:marRight w:val="0"/>
      <w:marTop w:val="0"/>
      <w:marBottom w:val="0"/>
      <w:divBdr>
        <w:top w:val="none" w:sz="0" w:space="0" w:color="auto"/>
        <w:left w:val="none" w:sz="0" w:space="0" w:color="auto"/>
        <w:bottom w:val="none" w:sz="0" w:space="0" w:color="auto"/>
        <w:right w:val="none" w:sz="0" w:space="0" w:color="auto"/>
      </w:divBdr>
    </w:div>
    <w:div w:id="209115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_vittoria.colombo@novartis.com" TargetMode="External"/><Relationship Id="rId18" Type="http://schemas.openxmlformats.org/officeDocument/2006/relationships/hyperlink" Target="https://clinicaltrials.gov/ct2/show/NCT0520770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ovartis.com" TargetMode="External"/><Relationship Id="rId17" Type="http://schemas.openxmlformats.org/officeDocument/2006/relationships/hyperlink" Target="https://www.esmo.org/guidelines/esmo-mcbs/esmo-mcbs-scorecards/scorecard-9-1/" TargetMode="External"/><Relationship Id="rId2" Type="http://schemas.openxmlformats.org/officeDocument/2006/relationships/customXml" Target="../customXml/item2.xml"/><Relationship Id="rId16" Type="http://schemas.openxmlformats.org/officeDocument/2006/relationships/hyperlink" Target="https://www.esmo.org/guidelines/esmo-mcbs/esmo-mcbs-scorecards/scorecard-15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vartis.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cn.org/professionals/physician_gls/pdf/breas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linicaltrials.gov/ct2/show/NCT051631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media@intermedianews.it"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6c98c-5aeb-4ad2-8a10-e83e577f504a">
      <Terms xmlns="http://schemas.microsoft.com/office/infopath/2007/PartnerControls"/>
    </lcf76f155ced4ddcb4097134ff3c332f>
    <TaxCatchAll xmlns="af1be721-d33a-4fef-a100-ba42263721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9532AB355719498038C4F5D6867E00" ma:contentTypeVersion="13" ma:contentTypeDescription="Create a new document." ma:contentTypeScope="" ma:versionID="1fa40545594eb4a8175096505033bbfb">
  <xsd:schema xmlns:xsd="http://www.w3.org/2001/XMLSchema" xmlns:xs="http://www.w3.org/2001/XMLSchema" xmlns:p="http://schemas.microsoft.com/office/2006/metadata/properties" xmlns:ns2="e1f6c98c-5aeb-4ad2-8a10-e83e577f504a" xmlns:ns3="af1be721-d33a-4fef-a100-ba4226372125" targetNamespace="http://schemas.microsoft.com/office/2006/metadata/properties" ma:root="true" ma:fieldsID="a349eb92718762b6829dde52404b4996" ns2:_="" ns3:_="">
    <xsd:import namespace="e1f6c98c-5aeb-4ad2-8a10-e83e577f504a"/>
    <xsd:import namespace="af1be721-d33a-4fef-a100-ba42263721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6c98c-5aeb-4ad2-8a10-e83e577f5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be721-d33a-4fef-a100-ba42263721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902fb5-68b5-41e3-960e-a3367be9124c}" ma:internalName="TaxCatchAll" ma:showField="CatchAllData" ma:web="af1be721-d33a-4fef-a100-ba422637212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A9BCA-25B8-4EF5-AAB1-23A4FFCB6CB9}">
  <ds:schemaRefs>
    <ds:schemaRef ds:uri="http://schemas.openxmlformats.org/officeDocument/2006/bibliography"/>
  </ds:schemaRefs>
</ds:datastoreItem>
</file>

<file path=customXml/itemProps2.xml><?xml version="1.0" encoding="utf-8"?>
<ds:datastoreItem xmlns:ds="http://schemas.openxmlformats.org/officeDocument/2006/customXml" ds:itemID="{6C5F3A15-D35D-48BE-84C4-28395BCD045C}">
  <ds:schemaRefs>
    <ds:schemaRef ds:uri="http://schemas.microsoft.com/sharepoint/v3/contenttype/forms"/>
  </ds:schemaRefs>
</ds:datastoreItem>
</file>

<file path=customXml/itemProps3.xml><?xml version="1.0" encoding="utf-8"?>
<ds:datastoreItem xmlns:ds="http://schemas.openxmlformats.org/officeDocument/2006/customXml" ds:itemID="{7E37F773-1A58-4225-ABCD-D35B8D3F8705}">
  <ds:schemaRefs>
    <ds:schemaRef ds:uri="http://schemas.microsoft.com/office/2006/metadata/properties"/>
    <ds:schemaRef ds:uri="http://schemas.microsoft.com/office/infopath/2007/PartnerControls"/>
    <ds:schemaRef ds:uri="e1f6c98c-5aeb-4ad2-8a10-e83e577f504a"/>
    <ds:schemaRef ds:uri="af1be721-d33a-4fef-a100-ba4226372125"/>
  </ds:schemaRefs>
</ds:datastoreItem>
</file>

<file path=customXml/itemProps4.xml><?xml version="1.0" encoding="utf-8"?>
<ds:datastoreItem xmlns:ds="http://schemas.openxmlformats.org/officeDocument/2006/customXml" ds:itemID="{CCCA685B-7A1D-4DF1-9252-801C4BB9B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6c98c-5aeb-4ad2-8a10-e83e577f504a"/>
    <ds:schemaRef ds:uri="af1be721-d33a-4fef-a100-ba4226372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3054</Words>
  <Characters>17408</Characters>
  <Application>Microsoft Office Word</Application>
  <DocSecurity>0</DocSecurity>
  <Lines>145</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Novartis Media Update guide - August 2019</vt:lpstr>
      <vt:lpstr>Novartis Media Update guide - August 2019</vt:lpstr>
    </vt:vector>
  </TitlesOfParts>
  <Company>Novartis</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Media Update guide - August 2019</dc:title>
  <dc:subject/>
  <dc:creator>Microsoft Office User</dc:creator>
  <cp:keywords/>
  <dc:description/>
  <cp:lastModifiedBy>Paolo Cabra - Intermedia</cp:lastModifiedBy>
  <cp:revision>14</cp:revision>
  <dcterms:created xsi:type="dcterms:W3CDTF">2023-12-06T13:57:00Z</dcterms:created>
  <dcterms:modified xsi:type="dcterms:W3CDTF">2023-12-11T08:47:00Z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Novartis</vt:lpwstr>
  </property>
  <property fmtid="{D5CDD505-2E9C-101B-9397-08002B2CF9AE}" pid="4" name="Confidentiality">
    <vt:lpwstr>Business Use Only</vt:lpwstr>
  </property>
  <property fmtid="{D5CDD505-2E9C-101B-9397-08002B2CF9AE}" pid="5" name="ContentTypeId">
    <vt:lpwstr>0x010100D49532AB355719498038C4F5D6867E00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MSIP_Label_4929bff8-5b33-42aa-95d2-28f72e792cb0_Enabled">
    <vt:lpwstr>True</vt:lpwstr>
  </property>
  <property fmtid="{D5CDD505-2E9C-101B-9397-08002B2CF9AE}" pid="10" name="MSIP_Label_4929bff8-5b33-42aa-95d2-28f72e792cb0_Extended_MSFT_Method">
    <vt:lpwstr>Automatic</vt:lpwstr>
  </property>
  <property fmtid="{D5CDD505-2E9C-101B-9397-08002B2CF9AE}" pid="11" name="MSIP_Label_4929bff8-5b33-42aa-95d2-28f72e792cb0_Name">
    <vt:lpwstr>Business Use Only</vt:lpwstr>
  </property>
  <property fmtid="{D5CDD505-2E9C-101B-9397-08002B2CF9AE}" pid="12" name="MSIP_Label_4929bff8-5b33-42aa-95d2-28f72e792cb0_SetDate">
    <vt:lpwstr>2019-05-27T14:29:09.8002297Z</vt:lpwstr>
  </property>
  <property fmtid="{D5CDD505-2E9C-101B-9397-08002B2CF9AE}" pid="13" name="MSIP_Label_4929bff8-5b33-42aa-95d2-28f72e792cb0_SiteId">
    <vt:lpwstr>f35a6974-607f-47d4-82d7-ff31d7dc53a5</vt:lpwstr>
  </property>
  <property fmtid="{D5CDD505-2E9C-101B-9397-08002B2CF9AE}" pid="14" name="MediaServiceImageTags">
    <vt:lpwstr/>
  </property>
  <property fmtid="{D5CDD505-2E9C-101B-9397-08002B2CF9AE}" pid="15" name="Multivalues">
    <vt:lpwstr/>
  </property>
  <property fmtid="{D5CDD505-2E9C-101B-9397-08002B2CF9AE}" pid="16" name="RefMsgCountry">
    <vt:lpwstr/>
  </property>
  <property fmtid="{D5CDD505-2E9C-101B-9397-08002B2CF9AE}" pid="17" name="RefMsgCountryMP">
    <vt:lpwstr/>
  </property>
  <property fmtid="{D5CDD505-2E9C-101B-9397-08002B2CF9AE}" pid="18" name="RefMsgDivisions">
    <vt:lpwstr>487;#Group|dfc17b07-b56c-4b63-af81-32989b790759;#489;#Oncology|4435bf9a-bd6a-47f9-8795-791e53f16fb0;#512;#Pharma|e774e8b3-ff13-400b-998e-5452346acdde;#476;#Sandoz|43e312ca-2378-4938-afc4-29a4a55cb1f6</vt:lpwstr>
  </property>
  <property fmtid="{D5CDD505-2E9C-101B-9397-08002B2CF9AE}" pid="19" name="RefMsgDivisionsMP">
    <vt:lpwstr/>
  </property>
  <property fmtid="{D5CDD505-2E9C-101B-9397-08002B2CF9AE}" pid="20" name="RefMsgKeywords">
    <vt:lpwstr>1761;#approval processes|b967c9be-b5e8-4ca3-85ca-1e2238872626;#1762;#guides|33ba0190-4fef-4177-be76-49e40089a2db;#1763;#templates|0c9e36e3-c76a-448a-a3cb-6989f00c444f</vt:lpwstr>
  </property>
  <property fmtid="{D5CDD505-2E9C-101B-9397-08002B2CF9AE}" pid="21" name="RefMsgKeywordsMP">
    <vt:lpwstr/>
  </property>
  <property fmtid="{D5CDD505-2E9C-101B-9397-08002B2CF9AE}" pid="22" name="RefMsgProduct">
    <vt:lpwstr/>
  </property>
  <property fmtid="{D5CDD505-2E9C-101B-9397-08002B2CF9AE}" pid="23" name="RefMsgProductMP">
    <vt:lpwstr/>
  </property>
  <property fmtid="{D5CDD505-2E9C-101B-9397-08002B2CF9AE}" pid="24" name="RegMsgTopicStatus">
    <vt:lpwstr>454;#1|5dbbdc98-3942-4b81-9025-3ba98fb1b93b</vt:lpwstr>
  </property>
  <property fmtid="{D5CDD505-2E9C-101B-9397-08002B2CF9AE}" pid="25" name="RegMsgTopicStatusMP">
    <vt:lpwstr/>
  </property>
  <property fmtid="{D5CDD505-2E9C-101B-9397-08002B2CF9AE}" pid="26" name="ScaleCrop">
    <vt:bool>false</vt:bool>
  </property>
  <property fmtid="{D5CDD505-2E9C-101B-9397-08002B2CF9AE}" pid="27" name="ShareDoc">
    <vt:bool>false</vt:bool>
  </property>
</Properties>
</file>